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 and methods </w:t>
      </w:r>
    </w:p>
    <w:p w:rsidR="00531A0D" w:rsidRDefault="00531A0D" w:rsidP="00531A0D">
      <w:pPr>
        <w:tabs>
          <w:tab w:val="left" w:pos="709"/>
          <w:tab w:val="right" w:pos="8838"/>
        </w:tabs>
        <w:spacing w:line="240" w:lineRule="auto"/>
        <w:ind w:right="-234"/>
        <w:jc w:val="both"/>
        <w:rPr>
          <w:rFonts w:ascii="Times New Roman" w:eastAsia="ArialMT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The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study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was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based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on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33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dry-preserved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specimens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provided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by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h</w:t>
      </w:r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e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following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institutions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(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name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of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curators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in </w:t>
      </w:r>
      <w:proofErr w:type="spell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parenthesis</w:t>
      </w:r>
      <w:proofErr w:type="spell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):</w:t>
      </w:r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531A0D">
        <w:rPr>
          <w:rFonts w:ascii="Times New Roman" w:hAnsi="Times New Roman" w:cs="Times New Roman"/>
          <w:sz w:val="24"/>
          <w:szCs w:val="24"/>
          <w:lang w:val="pt-BR"/>
        </w:rPr>
        <w:t>CEMT</w:t>
      </w:r>
      <w:r w:rsidRPr="00531A0D">
        <w:rPr>
          <w:rFonts w:ascii="ArialMT" w:eastAsia="ArialMT" w:hAnsiTheme="minorHAnsi" w:cs="ArialMT" w:hint="eastAsia"/>
          <w:sz w:val="18"/>
          <w:szCs w:val="18"/>
          <w:lang w:val="pt-BR" w:eastAsia="en-US"/>
        </w:rPr>
        <w:t>—</w:t>
      </w:r>
      <w:r w:rsidRPr="00531A0D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Seção de Entomologia da Coleção Zoológica, Departamento de Biologia e  Zoologia, Universidade Federal de Mato Grosso, Cuiabá, </w:t>
      </w:r>
      <w:proofErr w:type="spellStart"/>
      <w:r w:rsidRPr="00531A0D">
        <w:rPr>
          <w:rFonts w:ascii="Times New Roman" w:hAnsi="Times New Roman" w:cs="Times New Roman"/>
          <w:color w:val="000000"/>
          <w:sz w:val="24"/>
          <w:szCs w:val="24"/>
          <w:lang w:val="pt-BR"/>
        </w:rPr>
        <w:t>Brazil</w:t>
      </w:r>
      <w:proofErr w:type="spellEnd"/>
      <w:r w:rsidRPr="00531A0D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(Fernando Z. </w:t>
      </w:r>
      <w:proofErr w:type="spellStart"/>
      <w:r w:rsidRPr="00531A0D">
        <w:rPr>
          <w:rFonts w:ascii="Times New Roman" w:hAnsi="Times New Roman" w:cs="Times New Roman"/>
          <w:color w:val="000000"/>
          <w:sz w:val="24"/>
          <w:szCs w:val="24"/>
          <w:lang w:val="pt-BR"/>
        </w:rPr>
        <w:t>Vaz-de-Mello</w:t>
      </w:r>
      <w:proofErr w:type="spellEnd"/>
      <w:r w:rsidRPr="00531A0D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); </w:t>
      </w:r>
      <w:r w:rsidRPr="00531A0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MZSP</w:t>
      </w:r>
      <w:r w:rsidRPr="00531A0D">
        <w:rPr>
          <w:rFonts w:ascii="ArialMT" w:eastAsia="ArialMT" w:hAnsiTheme="minorHAnsi" w:cs="ArialMT" w:hint="eastAsia"/>
          <w:sz w:val="18"/>
          <w:szCs w:val="18"/>
          <w:lang w:val="pt-BR" w:eastAsia="en-US"/>
        </w:rPr>
        <w:t>—</w:t>
      </w:r>
      <w:r w:rsidRPr="000901F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Museu de Zoologia Universidade de São Paulo, São Paulo, </w:t>
      </w:r>
      <w:proofErr w:type="spellStart"/>
      <w:r w:rsidRPr="000901F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Brazil</w:t>
      </w:r>
      <w:proofErr w:type="spellEnd"/>
      <w:r w:rsidRPr="000901F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(Sônia </w:t>
      </w:r>
      <w:proofErr w:type="spellStart"/>
      <w:r w:rsidRPr="000901F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Casari</w:t>
      </w:r>
      <w:proofErr w:type="spellEnd"/>
      <w:r w:rsidRPr="000901F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Carlo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Campaner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Juarez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Fuhrmann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); </w:t>
      </w:r>
      <w:r w:rsidRPr="00531A0D">
        <w:rPr>
          <w:rFonts w:ascii="Times New Roman" w:hAnsi="Times New Roman" w:cs="Times New Roman"/>
          <w:sz w:val="24"/>
          <w:szCs w:val="24"/>
          <w:lang w:val="pt-BR"/>
        </w:rPr>
        <w:t>MNHN</w:t>
      </w:r>
      <w:r w:rsidRPr="00531A0D">
        <w:rPr>
          <w:rFonts w:ascii="ArialMT" w:eastAsia="ArialMT" w:hAnsiTheme="minorHAnsi" w:cs="ArialMT" w:hint="eastAsia"/>
          <w:sz w:val="18"/>
          <w:szCs w:val="18"/>
          <w:lang w:val="pt-BR" w:eastAsia="en-US"/>
        </w:rPr>
        <w:t>—</w:t>
      </w:r>
      <w:proofErr w:type="spellStart"/>
      <w:r w:rsidRPr="00531A0D">
        <w:rPr>
          <w:rFonts w:ascii="Times New Roman" w:hAnsi="Times New Roman" w:cs="Times New Roman"/>
          <w:sz w:val="24"/>
          <w:szCs w:val="24"/>
          <w:lang w:val="pt-BR"/>
        </w:rPr>
        <w:t>Muséum</w:t>
      </w:r>
      <w:proofErr w:type="spellEnd"/>
      <w:r w:rsidRPr="00531A0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sz w:val="24"/>
          <w:szCs w:val="24"/>
          <w:lang w:val="pt-BR"/>
        </w:rPr>
        <w:t>National</w:t>
      </w:r>
      <w:proofErr w:type="spellEnd"/>
      <w:r w:rsidRPr="00531A0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 w:rsidRPr="00531A0D">
        <w:rPr>
          <w:rFonts w:ascii="Times New Roman" w:hAnsi="Times New Roman" w:cs="Times New Roman"/>
          <w:sz w:val="24"/>
          <w:szCs w:val="24"/>
          <w:lang w:val="pt-BR"/>
        </w:rPr>
        <w:t>d'Histoire</w:t>
      </w:r>
      <w:proofErr w:type="spellEnd"/>
      <w:proofErr w:type="gramEnd"/>
      <w:r w:rsidRPr="00531A0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hAnsi="Times New Roman" w:cs="Times New Roman"/>
          <w:sz w:val="24"/>
          <w:szCs w:val="24"/>
          <w:lang w:val="pt-BR"/>
        </w:rPr>
        <w:t>Naturelle</w:t>
      </w:r>
      <w:proofErr w:type="spellEnd"/>
      <w:r w:rsidRPr="00531A0D">
        <w:rPr>
          <w:rFonts w:ascii="Times New Roman" w:hAnsi="Times New Roman" w:cs="Times New Roman"/>
          <w:sz w:val="24"/>
          <w:szCs w:val="24"/>
          <w:lang w:val="pt-BR"/>
        </w:rPr>
        <w:t xml:space="preserve">, Paris, France </w:t>
      </w:r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 xml:space="preserve">(Olivier </w:t>
      </w:r>
      <w:proofErr w:type="spellStart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>Montreuil</w:t>
      </w:r>
      <w:proofErr w:type="spellEnd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>and</w:t>
      </w:r>
      <w:proofErr w:type="spellEnd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 xml:space="preserve"> Antoine </w:t>
      </w:r>
      <w:proofErr w:type="spellStart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>Mantilleri</w:t>
      </w:r>
      <w:proofErr w:type="spellEnd"/>
      <w:r w:rsidRPr="00531A0D">
        <w:rPr>
          <w:rFonts w:ascii="Times New Roman" w:eastAsia="ArialMT" w:hAnsi="Times New Roman" w:cs="Times New Roman"/>
          <w:sz w:val="24"/>
          <w:szCs w:val="24"/>
          <w:lang w:val="pt-BR"/>
        </w:rPr>
        <w:t>).</w:t>
      </w:r>
      <w:r>
        <w:rPr>
          <w:rFonts w:ascii="Times New Roman" w:eastAsia="ArialMT" w:hAnsi="Times New Roman" w:cs="Times New Roman"/>
          <w:sz w:val="24"/>
          <w:szCs w:val="24"/>
          <w:lang w:val="pt-BR"/>
        </w:rPr>
        <w:t xml:space="preserve"> </w:t>
      </w:r>
    </w:p>
    <w:p w:rsidR="00531A0D" w:rsidRDefault="00531A0D" w:rsidP="00531A0D">
      <w:pPr>
        <w:tabs>
          <w:tab w:val="left" w:pos="709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531A0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31A0D">
        <w:rPr>
          <w:rFonts w:ascii="Times New Roman" w:hAnsi="Times New Roman" w:cs="Times New Roman"/>
          <w:sz w:val="24"/>
          <w:szCs w:val="24"/>
        </w:rPr>
        <w:t>External morphological structures and male genitalia (</w:t>
      </w:r>
      <w:r w:rsidR="0077573E">
        <w:rPr>
          <w:rFonts w:ascii="Times New Roman" w:hAnsi="Times New Roman" w:cs="Times New Roman"/>
          <w:sz w:val="24"/>
          <w:szCs w:val="24"/>
        </w:rPr>
        <w:t xml:space="preserve">genital capsule and its </w:t>
      </w:r>
      <w:proofErr w:type="spellStart"/>
      <w:r w:rsidR="0077573E">
        <w:rPr>
          <w:rFonts w:ascii="Times New Roman" w:hAnsi="Times New Roman" w:cs="Times New Roman"/>
          <w:sz w:val="24"/>
          <w:szCs w:val="24"/>
        </w:rPr>
        <w:t>endophallus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31A0D">
        <w:rPr>
          <w:rFonts w:ascii="Times New Roman" w:hAnsi="Times New Roman" w:cs="Times New Roman"/>
          <w:sz w:val="24"/>
          <w:szCs w:val="24"/>
        </w:rPr>
        <w:t>were examined</w:t>
      </w:r>
      <w:proofErr w:type="gramEnd"/>
      <w:r w:rsidRPr="00531A0D">
        <w:rPr>
          <w:rFonts w:ascii="Times New Roman" w:hAnsi="Times New Roman" w:cs="Times New Roman"/>
          <w:sz w:val="24"/>
          <w:szCs w:val="24"/>
        </w:rPr>
        <w:t xml:space="preserve"> using a stereomicroscope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Motic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CMZ-168. Photos </w:t>
      </w:r>
      <w:proofErr w:type="gramStart"/>
      <w:r w:rsidRPr="00531A0D">
        <w:rPr>
          <w:rFonts w:ascii="Times New Roman" w:hAnsi="Times New Roman" w:cs="Times New Roman"/>
          <w:sz w:val="24"/>
          <w:szCs w:val="24"/>
        </w:rPr>
        <w:t>were taken</w:t>
      </w:r>
      <w:proofErr w:type="gramEnd"/>
      <w:r w:rsidRPr="00531A0D">
        <w:rPr>
          <w:rFonts w:ascii="Times New Roman" w:hAnsi="Times New Roman" w:cs="Times New Roman"/>
          <w:sz w:val="24"/>
          <w:szCs w:val="24"/>
        </w:rPr>
        <w:t xml:space="preserve"> using a Stereomicroscope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Leica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M205A with image stacking software (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Leica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Application Suite, version 4.2). </w:t>
      </w:r>
      <w:r w:rsidR="0077573E">
        <w:rPr>
          <w:rFonts w:ascii="Times New Roman" w:hAnsi="Times New Roman" w:cs="Times New Roman"/>
          <w:sz w:val="24"/>
          <w:szCs w:val="24"/>
        </w:rPr>
        <w:t xml:space="preserve">To study male genitalia, </w:t>
      </w:r>
      <w:r w:rsidRPr="00531A0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aedeagus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A0D">
        <w:rPr>
          <w:rFonts w:ascii="Times New Roman" w:hAnsi="Times New Roman" w:cs="Times New Roman"/>
          <w:sz w:val="24"/>
          <w:szCs w:val="24"/>
        </w:rPr>
        <w:t>was removed</w:t>
      </w:r>
      <w:proofErr w:type="gramEnd"/>
      <w:r w:rsidRPr="00531A0D">
        <w:rPr>
          <w:rFonts w:ascii="Times New Roman" w:hAnsi="Times New Roman" w:cs="Times New Roman"/>
          <w:sz w:val="24"/>
          <w:szCs w:val="24"/>
        </w:rPr>
        <w:t xml:space="preserve"> from the beetles' body through the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pygidium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opening, </w:t>
      </w:r>
      <w:r w:rsidR="0077573E">
        <w:rPr>
          <w:rFonts w:ascii="Times New Roman" w:hAnsi="Times New Roman" w:cs="Times New Roman"/>
          <w:sz w:val="24"/>
          <w:szCs w:val="24"/>
        </w:rPr>
        <w:t>and</w:t>
      </w:r>
      <w:r w:rsidRPr="00531A0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endophallus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was extracted</w:t>
      </w:r>
      <w:r w:rsidR="0077573E">
        <w:rPr>
          <w:rFonts w:ascii="Times New Roman" w:hAnsi="Times New Roman" w:cs="Times New Roman"/>
          <w:sz w:val="24"/>
          <w:szCs w:val="24"/>
        </w:rPr>
        <w:t xml:space="preserve"> from the genital capsule. After 10-15 minutes </w:t>
      </w:r>
      <w:r w:rsidR="008E69B7">
        <w:rPr>
          <w:rFonts w:ascii="Times New Roman" w:hAnsi="Times New Roman" w:cs="Times New Roman"/>
          <w:sz w:val="24"/>
          <w:szCs w:val="24"/>
        </w:rPr>
        <w:t>immersed in a warm solution of KOH 10%</w:t>
      </w:r>
      <w:r w:rsidR="0077573E">
        <w:rPr>
          <w:rFonts w:ascii="Times New Roman" w:hAnsi="Times New Roman" w:cs="Times New Roman"/>
          <w:sz w:val="24"/>
          <w:szCs w:val="24"/>
        </w:rPr>
        <w:t xml:space="preserve"> for clearing, </w:t>
      </w:r>
      <w:r w:rsidR="009838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7573E">
        <w:rPr>
          <w:rFonts w:ascii="Times New Roman" w:hAnsi="Times New Roman" w:cs="Times New Roman"/>
          <w:sz w:val="24"/>
          <w:szCs w:val="24"/>
        </w:rPr>
        <w:t>endophallus</w:t>
      </w:r>
      <w:proofErr w:type="spellEnd"/>
      <w:r w:rsidR="007757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573E">
        <w:rPr>
          <w:rFonts w:ascii="Times New Roman" w:hAnsi="Times New Roman" w:cs="Times New Roman"/>
          <w:sz w:val="24"/>
          <w:szCs w:val="24"/>
        </w:rPr>
        <w:t>was rinsed</w:t>
      </w:r>
      <w:proofErr w:type="gramEnd"/>
      <w:r w:rsidR="0077573E">
        <w:rPr>
          <w:rFonts w:ascii="Times New Roman" w:hAnsi="Times New Roman" w:cs="Times New Roman"/>
          <w:sz w:val="24"/>
          <w:szCs w:val="24"/>
        </w:rPr>
        <w:t xml:space="preserve"> in distilled water and its </w:t>
      </w:r>
      <w:proofErr w:type="spellStart"/>
      <w:r w:rsidR="0077573E">
        <w:rPr>
          <w:rFonts w:ascii="Times New Roman" w:hAnsi="Times New Roman" w:cs="Times New Roman"/>
          <w:sz w:val="24"/>
          <w:szCs w:val="24"/>
        </w:rPr>
        <w:t>sclerits</w:t>
      </w:r>
      <w:proofErr w:type="spellEnd"/>
      <w:r w:rsidR="0077573E">
        <w:rPr>
          <w:rFonts w:ascii="Times New Roman" w:hAnsi="Times New Roman" w:cs="Times New Roman"/>
          <w:sz w:val="24"/>
          <w:szCs w:val="24"/>
        </w:rPr>
        <w:t xml:space="preserve"> were dissected</w:t>
      </w:r>
      <w:r w:rsidR="008E69B7">
        <w:rPr>
          <w:rFonts w:ascii="Times New Roman" w:hAnsi="Times New Roman" w:cs="Times New Roman"/>
          <w:sz w:val="24"/>
          <w:szCs w:val="24"/>
        </w:rPr>
        <w:t xml:space="preserve">. Nomenclature used to </w:t>
      </w:r>
      <w:r w:rsidR="0077573E">
        <w:rPr>
          <w:rFonts w:ascii="Times New Roman" w:hAnsi="Times New Roman" w:cs="Times New Roman"/>
          <w:sz w:val="24"/>
          <w:szCs w:val="24"/>
        </w:rPr>
        <w:t>name</w:t>
      </w:r>
      <w:r w:rsidR="008E6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9B7">
        <w:rPr>
          <w:rFonts w:ascii="Times New Roman" w:hAnsi="Times New Roman" w:cs="Times New Roman"/>
          <w:sz w:val="24"/>
          <w:szCs w:val="24"/>
        </w:rPr>
        <w:t>endophallic</w:t>
      </w:r>
      <w:proofErr w:type="spellEnd"/>
      <w:r w:rsidR="008E6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9B7">
        <w:rPr>
          <w:rFonts w:ascii="Times New Roman" w:hAnsi="Times New Roman" w:cs="Times New Roman"/>
          <w:sz w:val="24"/>
          <w:szCs w:val="24"/>
        </w:rPr>
        <w:t>sclerites</w:t>
      </w:r>
      <w:proofErr w:type="spellEnd"/>
      <w:r w:rsidR="008E69B7">
        <w:rPr>
          <w:rFonts w:ascii="Times New Roman" w:hAnsi="Times New Roman" w:cs="Times New Roman"/>
          <w:sz w:val="24"/>
          <w:szCs w:val="24"/>
        </w:rPr>
        <w:t xml:space="preserve"> follows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Tarasov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1A0D">
        <w:rPr>
          <w:rFonts w:ascii="Times New Roman" w:hAnsi="Times New Roman" w:cs="Times New Roman"/>
          <w:sz w:val="24"/>
          <w:szCs w:val="24"/>
        </w:rPr>
        <w:t>Solodovnikov</w:t>
      </w:r>
      <w:proofErr w:type="spellEnd"/>
      <w:r w:rsidRPr="00531A0D">
        <w:rPr>
          <w:rFonts w:ascii="Times New Roman" w:hAnsi="Times New Roman" w:cs="Times New Roman"/>
          <w:sz w:val="24"/>
          <w:szCs w:val="24"/>
        </w:rPr>
        <w:t xml:space="preserve"> (2011).</w:t>
      </w:r>
      <w:r w:rsidR="00775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Taxon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treatment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</w:rPr>
        <w:t>Dichotomius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</w:rPr>
        <w:t>Selenocopris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</w:rPr>
        <w:t>anningiae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sp.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Material </w:t>
      </w:r>
    </w:p>
    <w:p w:rsidR="00015607" w:rsidRDefault="00015607" w:rsidP="00015607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31A0D">
        <w:rPr>
          <w:rFonts w:ascii="Times New Roman" w:hAnsi="Times New Roman" w:cs="Times New Roman"/>
          <w:bCs/>
          <w:i/>
          <w:sz w:val="24"/>
          <w:szCs w:val="24"/>
        </w:rPr>
        <w:t>Holotype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</w:rPr>
        <w:t>:</w:t>
      </w:r>
      <w:r w:rsidRPr="00531A0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015607" w:rsidRPr="00015607" w:rsidRDefault="00015607" w:rsidP="00015607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  <w:lang w:val="pt-BR"/>
        </w:rPr>
      </w:pPr>
      <w:proofErr w:type="spellStart"/>
      <w:r w:rsidRPr="00015607">
        <w:rPr>
          <w:rFonts w:ascii="Times New Roman" w:hAnsi="Times New Roman" w:cs="Times New Roman"/>
          <w:bCs/>
          <w:i/>
          <w:sz w:val="24"/>
          <w:szCs w:val="24"/>
          <w:lang w:val="pt-BR"/>
        </w:rPr>
        <w:t>Paratypes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  <w:lang w:val="pt-BR"/>
        </w:rPr>
        <w:t>: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Diagnosis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escription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Ety</w:t>
      </w:r>
      <w:r>
        <w:rPr>
          <w:rFonts w:ascii="Times New Roman" w:hAnsi="Times New Roman" w:cs="Times New Roman"/>
          <w:bCs/>
          <w:sz w:val="24"/>
          <w:szCs w:val="24"/>
        </w:rPr>
        <w:t>mology</w:t>
      </w:r>
    </w:p>
    <w:p w:rsidR="00531A0D" w:rsidRDefault="00983866" w:rsidP="00983866">
      <w:pPr>
        <w:tabs>
          <w:tab w:val="left" w:pos="709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531A0D" w:rsidRPr="00531A0D">
        <w:rPr>
          <w:rFonts w:ascii="Times New Roman" w:hAnsi="Times New Roman" w:cs="Times New Roman"/>
          <w:bCs/>
          <w:sz w:val="24"/>
          <w:szCs w:val="24"/>
        </w:rPr>
        <w:t xml:space="preserve">Named after the British fossil collector and paleontologist Mary </w:t>
      </w:r>
      <w:proofErr w:type="spellStart"/>
      <w:r w:rsidR="00531A0D" w:rsidRPr="00531A0D">
        <w:rPr>
          <w:rFonts w:ascii="Times New Roman" w:hAnsi="Times New Roman" w:cs="Times New Roman"/>
          <w:bCs/>
          <w:sz w:val="24"/>
          <w:szCs w:val="24"/>
        </w:rPr>
        <w:t>Anning</w:t>
      </w:r>
      <w:proofErr w:type="spellEnd"/>
      <w:r w:rsidR="00531A0D" w:rsidRPr="00531A0D">
        <w:rPr>
          <w:rFonts w:ascii="Times New Roman" w:hAnsi="Times New Roman" w:cs="Times New Roman"/>
          <w:bCs/>
          <w:sz w:val="24"/>
          <w:szCs w:val="24"/>
        </w:rPr>
        <w:t xml:space="preserve">, considered by </w:t>
      </w:r>
      <w:r w:rsidR="008E69B7">
        <w:rPr>
          <w:rFonts w:ascii="Times New Roman" w:hAnsi="Times New Roman" w:cs="Times New Roman"/>
          <w:bCs/>
          <w:sz w:val="24"/>
          <w:szCs w:val="24"/>
        </w:rPr>
        <w:t>t</w:t>
      </w:r>
      <w:r w:rsidR="00531A0D" w:rsidRPr="00531A0D">
        <w:rPr>
          <w:rFonts w:ascii="Times New Roman" w:hAnsi="Times New Roman" w:cs="Times New Roman"/>
          <w:bCs/>
          <w:sz w:val="24"/>
          <w:szCs w:val="24"/>
        </w:rPr>
        <w:t>he Royal Society one of the ten most influential women in British science history.</w:t>
      </w:r>
      <w:proofErr w:type="gramEnd"/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  <w:t>Dichotomius</w:t>
      </w:r>
      <w:proofErr w:type="spellEnd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(</w:t>
      </w: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  <w:t>Selenocopris</w:t>
      </w:r>
      <w:proofErr w:type="spellEnd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) </w:t>
      </w: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  <w:t>casariae</w:t>
      </w:r>
      <w:proofErr w:type="spellEnd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>sp</w:t>
      </w:r>
      <w:proofErr w:type="spellEnd"/>
      <w:proofErr w:type="gramEnd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. </w:t>
      </w:r>
      <w:proofErr w:type="gramStart"/>
      <w:r w:rsidRPr="00531A0D">
        <w:rPr>
          <w:rFonts w:ascii="Times New Roman" w:hAnsi="Times New Roman" w:cs="Times New Roman"/>
          <w:b/>
          <w:bCs/>
          <w:sz w:val="24"/>
          <w:szCs w:val="24"/>
          <w:lang w:val="pt-BR"/>
        </w:rPr>
        <w:t>nov.</w:t>
      </w:r>
      <w:proofErr w:type="gramEnd"/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Material (planilha </w:t>
      </w:r>
      <w:proofErr w:type="spellStart"/>
      <w:proofErr w:type="gramStart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excel</w:t>
      </w:r>
      <w:proofErr w:type="spellEnd"/>
      <w:proofErr w:type="gramEnd"/>
      <w:r w:rsidRPr="00531A0D">
        <w:rPr>
          <w:rFonts w:ascii="Times New Roman" w:hAnsi="Times New Roman" w:cs="Times New Roman"/>
          <w:bCs/>
          <w:sz w:val="24"/>
          <w:szCs w:val="24"/>
          <w:lang w:val="pt-BR"/>
        </w:rPr>
        <w:t>)</w:t>
      </w:r>
    </w:p>
    <w:p w:rsidR="00015607" w:rsidRDefault="00015607" w:rsidP="00015607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31A0D">
        <w:rPr>
          <w:rFonts w:ascii="Times New Roman" w:hAnsi="Times New Roman" w:cs="Times New Roman"/>
          <w:bCs/>
          <w:i/>
          <w:sz w:val="24"/>
          <w:szCs w:val="24"/>
        </w:rPr>
        <w:t>Holotype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</w:rPr>
        <w:t>:</w:t>
      </w:r>
      <w:r w:rsidRPr="00531A0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015607" w:rsidRPr="00015607" w:rsidRDefault="00015607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  <w:lang w:val="pt-BR"/>
        </w:rPr>
      </w:pPr>
      <w:proofErr w:type="spellStart"/>
      <w:r w:rsidRPr="00015607">
        <w:rPr>
          <w:rFonts w:ascii="Times New Roman" w:hAnsi="Times New Roman" w:cs="Times New Roman"/>
          <w:bCs/>
          <w:i/>
          <w:sz w:val="24"/>
          <w:szCs w:val="24"/>
          <w:lang w:val="pt-BR"/>
        </w:rPr>
        <w:t>Paratypes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  <w:lang w:val="pt-BR"/>
        </w:rPr>
        <w:t>: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Diagnosis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escription</w:t>
      </w:r>
      <w:r w:rsidRPr="00531A0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Ety</w:t>
      </w:r>
      <w:r>
        <w:rPr>
          <w:rFonts w:ascii="Times New Roman" w:hAnsi="Times New Roman" w:cs="Times New Roman"/>
          <w:bCs/>
          <w:sz w:val="24"/>
          <w:szCs w:val="24"/>
        </w:rPr>
        <w:t>mology</w:t>
      </w:r>
    </w:p>
    <w:p w:rsidR="00531A0D" w:rsidRDefault="00983866" w:rsidP="00983866">
      <w:pPr>
        <w:tabs>
          <w:tab w:val="left" w:pos="993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="00531A0D" w:rsidRPr="00531A0D">
        <w:rPr>
          <w:rFonts w:ascii="Times New Roman" w:hAnsi="Times New Roman" w:cs="Times New Roman"/>
          <w:bCs/>
          <w:sz w:val="24"/>
          <w:szCs w:val="24"/>
        </w:rPr>
        <w:t xml:space="preserve">Named after </w:t>
      </w:r>
      <w:r w:rsidR="00531A0D">
        <w:rPr>
          <w:rFonts w:ascii="Times New Roman" w:hAnsi="Times New Roman" w:cs="Times New Roman"/>
          <w:bCs/>
          <w:sz w:val="24"/>
          <w:szCs w:val="24"/>
        </w:rPr>
        <w:t xml:space="preserve">the Brazilian </w:t>
      </w:r>
      <w:proofErr w:type="spellStart"/>
      <w:r w:rsidR="00531A0D">
        <w:rPr>
          <w:rFonts w:ascii="Times New Roman" w:hAnsi="Times New Roman" w:cs="Times New Roman"/>
          <w:bCs/>
          <w:sz w:val="24"/>
          <w:szCs w:val="24"/>
        </w:rPr>
        <w:t>coleopterist</w:t>
      </w:r>
      <w:proofErr w:type="spellEnd"/>
      <w:r w:rsidR="00531A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A0D">
        <w:rPr>
          <w:rFonts w:ascii="Times New Roman" w:hAnsi="Times New Roman" w:cs="Times New Roman"/>
          <w:bCs/>
          <w:sz w:val="24"/>
          <w:szCs w:val="24"/>
        </w:rPr>
        <w:t>Sônia</w:t>
      </w:r>
      <w:proofErr w:type="spellEnd"/>
      <w:r w:rsidR="00531A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1A0D">
        <w:rPr>
          <w:rFonts w:ascii="Times New Roman" w:hAnsi="Times New Roman" w:cs="Times New Roman"/>
          <w:bCs/>
          <w:sz w:val="24"/>
          <w:szCs w:val="24"/>
        </w:rPr>
        <w:t>Casari</w:t>
      </w:r>
      <w:proofErr w:type="spellEnd"/>
      <w:r w:rsidR="00531A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1A0D" w:rsidRPr="00531A0D">
        <w:rPr>
          <w:rFonts w:ascii="Times New Roman" w:hAnsi="Times New Roman" w:cs="Times New Roman"/>
          <w:bCs/>
          <w:sz w:val="24"/>
          <w:szCs w:val="24"/>
        </w:rPr>
        <w:t>in honor of her contributions to</w:t>
      </w:r>
      <w:r w:rsidR="007757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049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7573E">
        <w:rPr>
          <w:rFonts w:ascii="Times New Roman" w:hAnsi="Times New Roman" w:cs="Times New Roman"/>
          <w:bCs/>
          <w:sz w:val="24"/>
          <w:szCs w:val="24"/>
        </w:rPr>
        <w:t xml:space="preserve">Brazilian </w:t>
      </w:r>
      <w:proofErr w:type="spellStart"/>
      <w:r w:rsidR="0077573E">
        <w:rPr>
          <w:rFonts w:ascii="Times New Roman" w:hAnsi="Times New Roman" w:cs="Times New Roman"/>
          <w:bCs/>
          <w:sz w:val="24"/>
          <w:szCs w:val="24"/>
        </w:rPr>
        <w:t>Coleopterology</w:t>
      </w:r>
      <w:proofErr w:type="spellEnd"/>
      <w:r w:rsidR="0077573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7757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Taxonomic remark</w:t>
      </w:r>
    </w:p>
    <w:p w:rsidR="00531A0D" w:rsidRDefault="00531A0D" w:rsidP="00531A0D">
      <w:pPr>
        <w:tabs>
          <w:tab w:val="left" w:pos="96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This new species was erroneously identified by Pereira (1947) as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for which the author provided a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redescription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and illustrations</w:t>
      </w:r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redescription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was based</w:t>
      </w:r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on several specimens from Vil</w:t>
      </w:r>
      <w:r w:rsidR="007A68CA">
        <w:rPr>
          <w:rFonts w:ascii="Times New Roman" w:hAnsi="Times New Roman" w:cs="Times New Roman"/>
          <w:sz w:val="24"/>
          <w:szCs w:val="24"/>
        </w:rPr>
        <w:t>lavice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ncio (Colombia) and stated the existence of a strong sexual dimorphism expressed on males head and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pronotum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(Pereira, 1947). According to th</w:t>
      </w:r>
      <w:r w:rsidR="007A68CA">
        <w:rPr>
          <w:rFonts w:ascii="Times New Roman" w:hAnsi="Times New Roman" w:cs="Times New Roman"/>
          <w:sz w:val="24"/>
          <w:szCs w:val="24"/>
        </w:rPr>
        <w:t>is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redescription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, the males have a long cephalic horn and a high anterior declivity on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pronotum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. Pereira (1947) also commented that </w:t>
      </w:r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such characteristics were not described by Harold (1869)</w:t>
      </w:r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in the original description of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, probably because he based on a less-developed male. We examined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holotype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(deposited in MNHN) and it is a female </w:t>
      </w:r>
      <w:r w:rsidR="00015607">
        <w:rPr>
          <w:rFonts w:ascii="Times New Roman" w:hAnsi="Times New Roman" w:cs="Times New Roman"/>
          <w:sz w:val="24"/>
          <w:szCs w:val="24"/>
        </w:rPr>
        <w:t>instead of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 a less developed male. This female, as well as, males of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identified by us did not fit </w:t>
      </w:r>
      <w:r w:rsidR="007A68CA" w:rsidRPr="00AA0346">
        <w:rPr>
          <w:rFonts w:ascii="Times New Roman" w:hAnsi="Times New Roman" w:cs="Times New Roman"/>
          <w:sz w:val="24"/>
          <w:szCs w:val="24"/>
        </w:rPr>
        <w:t>Vil</w:t>
      </w:r>
      <w:r w:rsidR="007A68CA">
        <w:rPr>
          <w:rFonts w:ascii="Times New Roman" w:hAnsi="Times New Roman" w:cs="Times New Roman"/>
          <w:sz w:val="24"/>
          <w:szCs w:val="24"/>
        </w:rPr>
        <w:t>lavice</w:t>
      </w:r>
      <w:r w:rsidR="007A68CA" w:rsidRPr="00AA0346">
        <w:rPr>
          <w:rFonts w:ascii="Times New Roman" w:hAnsi="Times New Roman" w:cs="Times New Roman"/>
          <w:sz w:val="24"/>
          <w:szCs w:val="24"/>
        </w:rPr>
        <w:t>ncio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specimens that, actually, belong to a new species described here as </w:t>
      </w:r>
      <w:r w:rsidR="00AA0346" w:rsidRPr="00015607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015607">
        <w:rPr>
          <w:rFonts w:ascii="Times New Roman" w:hAnsi="Times New Roman" w:cs="Times New Roman"/>
          <w:i/>
          <w:sz w:val="24"/>
          <w:szCs w:val="24"/>
        </w:rPr>
        <w:t>casariae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sp. </w:t>
      </w:r>
      <w:proofErr w:type="spellStart"/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nov</w:t>
      </w:r>
      <w:proofErr w:type="spellEnd"/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Despited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r w:rsidR="00015607">
        <w:rPr>
          <w:rFonts w:ascii="Times New Roman" w:hAnsi="Times New Roman" w:cs="Times New Roman"/>
          <w:sz w:val="24"/>
          <w:szCs w:val="24"/>
        </w:rPr>
        <w:t>the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similarities in body size and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pronotal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punctuation which positioned the two species in the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species-group, </w:t>
      </w:r>
      <w:r w:rsidR="007A68CA" w:rsidRPr="007A68CA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7A68CA" w:rsidRPr="007A68CA">
        <w:rPr>
          <w:rFonts w:ascii="Times New Roman" w:hAnsi="Times New Roman" w:cs="Times New Roman"/>
          <w:i/>
          <w:sz w:val="24"/>
          <w:szCs w:val="24"/>
        </w:rPr>
        <w:t>casariae</w:t>
      </w:r>
      <w:proofErr w:type="spellEnd"/>
      <w:r w:rsidR="007A68CA">
        <w:rPr>
          <w:rFonts w:ascii="Times New Roman" w:hAnsi="Times New Roman" w:cs="Times New Roman"/>
          <w:sz w:val="24"/>
          <w:szCs w:val="24"/>
        </w:rPr>
        <w:t xml:space="preserve"> sp. </w:t>
      </w:r>
      <w:proofErr w:type="spellStart"/>
      <w:proofErr w:type="gramStart"/>
      <w:r w:rsidR="007A68CA">
        <w:rPr>
          <w:rFonts w:ascii="Times New Roman" w:hAnsi="Times New Roman" w:cs="Times New Roman"/>
          <w:sz w:val="24"/>
          <w:szCs w:val="24"/>
        </w:rPr>
        <w:t>nov</w:t>
      </w:r>
      <w:proofErr w:type="spellEnd"/>
      <w:proofErr w:type="gramEnd"/>
      <w:r w:rsidR="007A68CA">
        <w:rPr>
          <w:rFonts w:ascii="Times New Roman" w:hAnsi="Times New Roman" w:cs="Times New Roman"/>
          <w:sz w:val="24"/>
          <w:szCs w:val="24"/>
        </w:rPr>
        <w:t>.</w:t>
      </w:r>
      <w:r w:rsidR="00AA0346" w:rsidRPr="00AA0346">
        <w:rPr>
          <w:rFonts w:ascii="Times New Roman" w:hAnsi="Times New Roman" w:cs="Times New Roman"/>
          <w:sz w:val="24"/>
          <w:szCs w:val="24"/>
        </w:rPr>
        <w:t xml:space="preserve"> can be distinguished from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by the following characteristics: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genal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margin more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angulate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, male with a long, plate-like cephalic horn,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elytral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striae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chagrined, and dorsal portion of each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paramere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lacking a small hook. Within the group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batesi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, only males of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casariae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sp. </w:t>
      </w:r>
      <w:proofErr w:type="spellStart"/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nov</w:t>
      </w:r>
      <w:proofErr w:type="spellEnd"/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</w:t>
      </w:r>
      <w:r w:rsidR="00AA0346" w:rsidRPr="00AA0346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="00AA0346" w:rsidRPr="00AA0346">
        <w:rPr>
          <w:rFonts w:ascii="Times New Roman" w:hAnsi="Times New Roman" w:cs="Times New Roman"/>
          <w:i/>
          <w:sz w:val="24"/>
          <w:szCs w:val="24"/>
        </w:rPr>
        <w:t>anningiae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sp.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A0346" w:rsidRPr="00AA0346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AA0346" w:rsidRPr="00AA0346">
        <w:rPr>
          <w:rFonts w:ascii="Times New Roman" w:hAnsi="Times New Roman" w:cs="Times New Roman"/>
          <w:sz w:val="24"/>
          <w:szCs w:val="24"/>
        </w:rPr>
        <w:t xml:space="preserve"> a long cephalic horn and a high anterior declivity on </w:t>
      </w:r>
      <w:proofErr w:type="spellStart"/>
      <w:r w:rsidR="00AA0346" w:rsidRPr="00AA0346">
        <w:rPr>
          <w:rFonts w:ascii="Times New Roman" w:hAnsi="Times New Roman" w:cs="Times New Roman"/>
          <w:sz w:val="24"/>
          <w:szCs w:val="24"/>
        </w:rPr>
        <w:t>pronotum</w:t>
      </w:r>
      <w:proofErr w:type="spellEnd"/>
      <w:r w:rsidR="00AA0346" w:rsidRPr="00AA0346">
        <w:rPr>
          <w:rFonts w:ascii="Times New Roman" w:hAnsi="Times New Roman" w:cs="Times New Roman"/>
          <w:sz w:val="24"/>
          <w:szCs w:val="24"/>
        </w:rPr>
        <w:t>.</w:t>
      </w:r>
      <w:r w:rsidR="007A68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607" w:rsidRPr="00531A0D" w:rsidRDefault="00015607" w:rsidP="00531A0D">
      <w:pPr>
        <w:tabs>
          <w:tab w:val="left" w:pos="96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sz w:val="18"/>
          <w:szCs w:val="24"/>
        </w:rPr>
      </w:pP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</w:rPr>
        <w:t>Dichotomius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31A0D">
        <w:rPr>
          <w:rFonts w:ascii="Times New Roman" w:hAnsi="Times New Roman" w:cs="Times New Roman"/>
          <w:b/>
          <w:bCs/>
          <w:i/>
          <w:sz w:val="24"/>
          <w:szCs w:val="24"/>
        </w:rPr>
        <w:t>Selenocopris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franklinae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sp.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Material</w:t>
      </w:r>
    </w:p>
    <w:p w:rsidR="00015607" w:rsidRDefault="00015607" w:rsidP="00015607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31A0D">
        <w:rPr>
          <w:rFonts w:ascii="Times New Roman" w:hAnsi="Times New Roman" w:cs="Times New Roman"/>
          <w:bCs/>
          <w:i/>
          <w:sz w:val="24"/>
          <w:szCs w:val="24"/>
        </w:rPr>
        <w:t>Holotype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</w:rPr>
        <w:t>:</w:t>
      </w:r>
      <w:r w:rsidRPr="00531A0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015607" w:rsidRPr="00015607" w:rsidRDefault="00015607" w:rsidP="00015607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i/>
          <w:sz w:val="24"/>
          <w:szCs w:val="24"/>
          <w:lang w:val="pt-BR"/>
        </w:rPr>
      </w:pPr>
      <w:proofErr w:type="spellStart"/>
      <w:r w:rsidRPr="00015607">
        <w:rPr>
          <w:rFonts w:ascii="Times New Roman" w:hAnsi="Times New Roman" w:cs="Times New Roman"/>
          <w:bCs/>
          <w:i/>
          <w:sz w:val="24"/>
          <w:szCs w:val="24"/>
          <w:lang w:val="pt-BR"/>
        </w:rPr>
        <w:t>Paratypes</w:t>
      </w:r>
      <w:proofErr w:type="spellEnd"/>
      <w:r w:rsidRPr="00015607">
        <w:rPr>
          <w:rFonts w:ascii="Times New Roman" w:hAnsi="Times New Roman" w:cs="Times New Roman"/>
          <w:bCs/>
          <w:sz w:val="24"/>
          <w:szCs w:val="24"/>
          <w:lang w:val="pt-BR"/>
        </w:rPr>
        <w:t>:</w:t>
      </w:r>
    </w:p>
    <w:p w:rsidR="00531A0D" w:rsidRPr="00531A0D" w:rsidRDefault="00015607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531A0D">
        <w:rPr>
          <w:rFonts w:ascii="Times New Roman" w:hAnsi="Times New Roman" w:cs="Times New Roman"/>
          <w:bCs/>
          <w:sz w:val="24"/>
          <w:szCs w:val="24"/>
        </w:rPr>
        <w:t>iagnosis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escription</w:t>
      </w:r>
    </w:p>
    <w:p w:rsidR="00531A0D" w:rsidRPr="00531A0D" w:rsidRDefault="00531A0D" w:rsidP="00531A0D">
      <w:pPr>
        <w:tabs>
          <w:tab w:val="left" w:pos="3840"/>
          <w:tab w:val="right" w:pos="8838"/>
        </w:tabs>
        <w:spacing w:line="240" w:lineRule="auto"/>
        <w:ind w:right="-2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1A0D">
        <w:rPr>
          <w:rFonts w:ascii="Times New Roman" w:hAnsi="Times New Roman" w:cs="Times New Roman"/>
          <w:bCs/>
          <w:sz w:val="24"/>
          <w:szCs w:val="24"/>
        </w:rPr>
        <w:t>Ety</w:t>
      </w:r>
      <w:r>
        <w:rPr>
          <w:rFonts w:ascii="Times New Roman" w:hAnsi="Times New Roman" w:cs="Times New Roman"/>
          <w:bCs/>
          <w:sz w:val="24"/>
          <w:szCs w:val="24"/>
        </w:rPr>
        <w:t>mology</w:t>
      </w:r>
    </w:p>
    <w:p w:rsidR="00531A0D" w:rsidRDefault="00C34FA5">
      <w:proofErr w:type="gramStart"/>
      <w:r w:rsidRPr="00C34FA5">
        <w:rPr>
          <w:rFonts w:ascii="Times New Roman" w:hAnsi="Times New Roman" w:cs="Times New Roman"/>
          <w:sz w:val="24"/>
          <w:szCs w:val="24"/>
        </w:rPr>
        <w:t>Named after British chemistry Rosalind Franklin for her brilliant and inspiring scientific career.</w:t>
      </w:r>
      <w:proofErr w:type="gramEnd"/>
    </w:p>
    <w:sectPr w:rsidR="00531A0D" w:rsidSect="00DA1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36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27D"/>
    <w:multiLevelType w:val="hybridMultilevel"/>
    <w:tmpl w:val="C4207696"/>
    <w:lvl w:ilvl="0" w:tplc="E79849F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03971"/>
    <w:multiLevelType w:val="hybridMultilevel"/>
    <w:tmpl w:val="8B9A2AE2"/>
    <w:lvl w:ilvl="0" w:tplc="A52ACE3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20"/>
  <w:characterSpacingControl w:val="doNotCompress"/>
  <w:compat/>
  <w:rsids>
    <w:rsidRoot w:val="00531A0D"/>
    <w:rsid w:val="00015607"/>
    <w:rsid w:val="003800BC"/>
    <w:rsid w:val="0039345A"/>
    <w:rsid w:val="0042631D"/>
    <w:rsid w:val="00531A0D"/>
    <w:rsid w:val="005725DC"/>
    <w:rsid w:val="006C0B27"/>
    <w:rsid w:val="007754BB"/>
    <w:rsid w:val="0077573E"/>
    <w:rsid w:val="007A68CA"/>
    <w:rsid w:val="00840497"/>
    <w:rsid w:val="008E69B7"/>
    <w:rsid w:val="00932DB1"/>
    <w:rsid w:val="00983866"/>
    <w:rsid w:val="00A552A4"/>
    <w:rsid w:val="00AA0346"/>
    <w:rsid w:val="00C347EC"/>
    <w:rsid w:val="00C34FA5"/>
    <w:rsid w:val="00CD4E83"/>
    <w:rsid w:val="00D1667B"/>
    <w:rsid w:val="00DA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0D"/>
    <w:pPr>
      <w:suppressAutoHyphens/>
    </w:pPr>
    <w:rPr>
      <w:rFonts w:ascii="Calibri" w:eastAsia="Calibri" w:hAnsi="Calibri" w:cs="font43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A0D"/>
    <w:pPr>
      <w:ind w:left="720"/>
      <w:contextualSpacing/>
    </w:pPr>
  </w:style>
  <w:style w:type="character" w:customStyle="1" w:styleId="tlid-translation">
    <w:name w:val="tlid-translation"/>
    <w:basedOn w:val="Fontepargpadro"/>
    <w:rsid w:val="00531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MaRcelY Valois</dc:creator>
  <cp:lastModifiedBy>MaRcelY Valois</cp:lastModifiedBy>
  <cp:revision>3</cp:revision>
  <dcterms:created xsi:type="dcterms:W3CDTF">2020-01-07T09:43:00Z</dcterms:created>
  <dcterms:modified xsi:type="dcterms:W3CDTF">2020-01-07T12:27:00Z</dcterms:modified>
</cp:coreProperties>
</file>