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lang w:eastAsia="ru-RU"/>
        </w:rPr>
        <w:t>Федеральное государственное бюджетное образовательное учреждение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lang w:eastAsia="ru-RU"/>
        </w:rPr>
        <w:t>высшего образования</w:t>
      </w:r>
    </w:p>
    <w:p w:rsidR="00F07CF3" w:rsidRPr="006B1170" w:rsidRDefault="00F07CF3" w:rsidP="00F07CF3">
      <w:pPr>
        <w:spacing w:after="120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«Пермский национальный</w:t>
      </w:r>
      <w:r w:rsidRPr="006B1170">
        <w:rPr>
          <w:rFonts w:ascii="Times New Roman" w:eastAsia="Times New Roman" w:hAnsi="Times New Roman"/>
          <w:color w:val="000000"/>
          <w:sz w:val="36"/>
          <w:szCs w:val="36"/>
          <w:lang w:eastAsia="ru-RU"/>
        </w:rPr>
        <w:t xml:space="preserve"> </w:t>
      </w: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исследовательский политехнический университет»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Факультет прикладной математики и механики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Кафедра Вычислительной математики и механики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Направление 09.03.02 Информационные системы и технологии</w:t>
      </w: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О Т Ч Е Т</w:t>
      </w:r>
    </w:p>
    <w:p w:rsidR="00F07CF3" w:rsidRPr="0047656A" w:rsidRDefault="00F07CF3" w:rsidP="00F07CF3">
      <w:pPr>
        <w:spacing w:line="360" w:lineRule="auto"/>
        <w:ind w:firstLine="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F07CF3" w:rsidRPr="006B1170" w:rsidRDefault="00F07CF3" w:rsidP="00F07CF3">
      <w:pPr>
        <w:spacing w:line="360" w:lineRule="auto"/>
        <w:ind w:firstLine="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«</w:t>
      </w:r>
      <w:r w:rsidR="00CB3188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Исследование сверхвысокочастотного излучения и эффективности защитного экранирования</w:t>
      </w:r>
      <w:r w:rsidRPr="006B1170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»</w:t>
      </w: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</w:pPr>
    </w:p>
    <w:p w:rsidR="00F07CF3" w:rsidRPr="002C7E5A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Pr="006B1170" w:rsidRDefault="00F07CF3" w:rsidP="00F07CF3">
      <w:pPr>
        <w:ind w:left="496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Выполнили</w:t>
      </w:r>
      <w:r w:rsidRPr="006B11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:rsidR="00F07CF3" w:rsidRDefault="00F07CF3" w:rsidP="00F07CF3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студенты</w:t>
      </w:r>
      <w:r w:rsidRPr="006B11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гр. ИСТ-1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 w:rsidRPr="006B11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-1б</w:t>
      </w:r>
    </w:p>
    <w:p w:rsidR="00F07CF3" w:rsidRDefault="00F07CF3" w:rsidP="00F07CF3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Кандаков А.А.</w:t>
      </w:r>
    </w:p>
    <w:p w:rsidR="00F07CF3" w:rsidRPr="00F07CF3" w:rsidRDefault="00F07CF3" w:rsidP="00F07CF3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Меланин Н.В.</w:t>
      </w:r>
    </w:p>
    <w:p w:rsidR="00F07CF3" w:rsidRPr="006B1170" w:rsidRDefault="00F07CF3" w:rsidP="00F07CF3">
      <w:pPr>
        <w:ind w:left="4616" w:firstLine="33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Перелыгин Л.Ю.</w:t>
      </w:r>
    </w:p>
    <w:p w:rsidR="00F07CF3" w:rsidRDefault="00F07CF3" w:rsidP="00F07CF3">
      <w:pPr>
        <w:ind w:left="108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Pr="006B1170" w:rsidRDefault="00F07CF3" w:rsidP="00F07CF3">
      <w:pPr>
        <w:ind w:left="4280" w:firstLine="67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Принял:</w:t>
      </w:r>
    </w:p>
    <w:p w:rsidR="00F07CF3" w:rsidRPr="006B1170" w:rsidRDefault="00F07CF3" w:rsidP="00F07CF3">
      <w:pPr>
        <w:ind w:left="4620" w:firstLine="33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Бердышев О.В.</w:t>
      </w:r>
    </w:p>
    <w:p w:rsidR="00F07CF3" w:rsidRPr="006B1170" w:rsidRDefault="00F07CF3" w:rsidP="00F07CF3">
      <w:pPr>
        <w:spacing w:before="240" w:after="80"/>
        <w:ind w:firstLine="0"/>
        <w:outlineLvl w:val="5"/>
        <w:rPr>
          <w:rFonts w:ascii="Times New Roman" w:eastAsia="Times New Roman" w:hAnsi="Times New Roman"/>
          <w:b/>
          <w:bCs/>
          <w:sz w:val="15"/>
          <w:szCs w:val="15"/>
          <w:lang w:eastAsia="ru-RU"/>
        </w:rPr>
      </w:pP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>  </w:t>
      </w: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ab/>
        <w:t xml:space="preserve"> </w:t>
      </w:r>
    </w:p>
    <w:p w:rsidR="00F07CF3" w:rsidRDefault="00F07CF3" w:rsidP="00F07CF3">
      <w:pPr>
        <w:spacing w:after="24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Пермь  2018</w:t>
      </w:r>
    </w:p>
    <w:p w:rsidR="00F07CF3" w:rsidRDefault="00F07CF3" w:rsidP="00D52B08">
      <w:pPr>
        <w:rPr>
          <w:rFonts w:ascii="Times New Roman" w:hAnsi="Times New Roman"/>
          <w:sz w:val="28"/>
          <w:szCs w:val="28"/>
        </w:rPr>
      </w:pPr>
    </w:p>
    <w:p w:rsidR="002137A4" w:rsidRDefault="002137A4" w:rsidP="002137A4">
      <w:pPr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 w:rsidRPr="00E22046"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color w:val="000000"/>
          <w:sz w:val="28"/>
          <w:szCs w:val="28"/>
        </w:rPr>
        <w:t xml:space="preserve">5 </w:t>
      </w:r>
    </w:p>
    <w:p w:rsidR="002137A4" w:rsidRDefault="002137A4" w:rsidP="002137A4">
      <w:pPr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Оценка уровней ЭМИ в пространстве</w:t>
      </w:r>
    </w:p>
    <w:tbl>
      <w:tblPr>
        <w:tblW w:w="9077" w:type="dxa"/>
        <w:tblLayout w:type="fixed"/>
        <w:tblCellMar>
          <w:left w:w="0" w:type="dxa"/>
          <w:right w:w="0" w:type="dxa"/>
        </w:tblCellMar>
        <w:tblLook w:val="04A0"/>
      </w:tblPr>
      <w:tblGrid>
        <w:gridCol w:w="856"/>
        <w:gridCol w:w="992"/>
        <w:gridCol w:w="992"/>
        <w:gridCol w:w="993"/>
        <w:gridCol w:w="2693"/>
        <w:gridCol w:w="2551"/>
      </w:tblGrid>
      <w:tr w:rsidR="00313E7E" w:rsidRPr="00313E7E" w:rsidTr="00313E7E">
        <w:trPr>
          <w:trHeight w:val="615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E7E" w:rsidRPr="00313E7E" w:rsidRDefault="00313E7E" w:rsidP="00313E7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E7E" w:rsidRPr="00313E7E" w:rsidRDefault="00313E7E" w:rsidP="00313E7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X см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E7E" w:rsidRPr="00313E7E" w:rsidRDefault="00313E7E" w:rsidP="00313E7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Y см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E7E" w:rsidRPr="00313E7E" w:rsidRDefault="00313E7E" w:rsidP="00313E7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Z см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7E" w:rsidRPr="00313E7E" w:rsidRDefault="00313E7E" w:rsidP="00313E7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Интенсивность мкА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7E" w:rsidRPr="00313E7E" w:rsidRDefault="00313E7E" w:rsidP="00313E7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Плотность потока мкВт/</w:t>
            </w:r>
            <w:proofErr w:type="gramStart"/>
            <w:r w:rsidRPr="00313E7E">
              <w:rPr>
                <w:b/>
                <w:color w:val="000000"/>
                <w:sz w:val="24"/>
                <w:szCs w:val="24"/>
              </w:rPr>
              <w:t>см</w:t>
            </w:r>
            <w:proofErr w:type="gramEnd"/>
            <w:r w:rsidRPr="00313E7E">
              <w:rPr>
                <w:b/>
                <w:color w:val="000000"/>
                <w:sz w:val="24"/>
                <w:szCs w:val="24"/>
              </w:rPr>
              <w:t>^2</w:t>
            </w:r>
          </w:p>
        </w:tc>
      </w:tr>
      <w:tr w:rsidR="00313E7E" w:rsidRPr="00313E7E" w:rsidTr="00313E7E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4.55</w:t>
            </w:r>
          </w:p>
        </w:tc>
      </w:tr>
      <w:tr w:rsidR="00313E7E" w:rsidRPr="00313E7E" w:rsidTr="00313E7E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8.3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2.905</w:t>
            </w:r>
          </w:p>
        </w:tc>
      </w:tr>
      <w:tr w:rsidR="00313E7E" w:rsidRPr="00313E7E" w:rsidTr="00313E7E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6.7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2.345</w:t>
            </w:r>
          </w:p>
        </w:tc>
      </w:tr>
      <w:tr w:rsidR="00313E7E" w:rsidRPr="00313E7E" w:rsidTr="00313E7E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1.4</w:t>
            </w:r>
          </w:p>
        </w:tc>
      </w:tr>
      <w:tr w:rsidR="00313E7E" w:rsidRPr="00313E7E" w:rsidTr="00313E7E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3.1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1.085</w:t>
            </w:r>
          </w:p>
        </w:tc>
      </w:tr>
      <w:tr w:rsidR="00313E7E" w:rsidRPr="00313E7E" w:rsidTr="00313E7E">
        <w:trPr>
          <w:trHeight w:val="315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4.4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1.54</w:t>
            </w:r>
          </w:p>
        </w:tc>
      </w:tr>
      <w:tr w:rsidR="00313E7E" w:rsidRPr="00313E7E" w:rsidTr="00313E7E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4.5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1.575</w:t>
            </w:r>
          </w:p>
        </w:tc>
      </w:tr>
      <w:tr w:rsidR="00313E7E" w:rsidRPr="00313E7E" w:rsidTr="00313E7E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4.2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1.47</w:t>
            </w:r>
          </w:p>
        </w:tc>
      </w:tr>
      <w:tr w:rsidR="00313E7E" w:rsidRPr="00313E7E" w:rsidTr="00313E7E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3.1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1.085</w:t>
            </w:r>
          </w:p>
        </w:tc>
      </w:tr>
      <w:tr w:rsidR="00313E7E" w:rsidRPr="00313E7E" w:rsidTr="00313E7E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2.3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0.805</w:t>
            </w:r>
          </w:p>
        </w:tc>
      </w:tr>
      <w:tr w:rsidR="00313E7E" w:rsidRPr="00313E7E" w:rsidTr="00313E7E">
        <w:trPr>
          <w:trHeight w:val="30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0.7</w:t>
            </w:r>
          </w:p>
        </w:tc>
      </w:tr>
    </w:tbl>
    <w:p w:rsidR="00313E7E" w:rsidRPr="00313E7E" w:rsidRDefault="00313E7E" w:rsidP="002137A4">
      <w:pPr>
        <w:shd w:val="clear" w:color="auto" w:fill="FFFFFF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2137A4" w:rsidRDefault="002137A4" w:rsidP="00313E7E">
      <w:pPr>
        <w:ind w:firstLine="0"/>
        <w:jc w:val="both"/>
        <w:rPr>
          <w:rFonts w:ascii="Times New Roman" w:hAnsi="Times New Roman"/>
          <w:sz w:val="28"/>
          <w:szCs w:val="28"/>
        </w:rPr>
      </w:pPr>
    </w:p>
    <w:p w:rsidR="002137A4" w:rsidRDefault="002137A4" w:rsidP="002137A4">
      <w:pPr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 w:rsidRPr="00E22046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color w:val="000000"/>
          <w:sz w:val="28"/>
          <w:szCs w:val="28"/>
        </w:rPr>
        <w:t xml:space="preserve">6 </w:t>
      </w:r>
    </w:p>
    <w:p w:rsidR="002137A4" w:rsidRPr="00E22046" w:rsidRDefault="002137A4" w:rsidP="002137A4">
      <w:pPr>
        <w:shd w:val="clear" w:color="auto" w:fill="FFFFFF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Оценка эффективности экранирования</w:t>
      </w:r>
    </w:p>
    <w:tbl>
      <w:tblPr>
        <w:tblW w:w="9077" w:type="dxa"/>
        <w:tblCellMar>
          <w:left w:w="0" w:type="dxa"/>
          <w:right w:w="0" w:type="dxa"/>
        </w:tblCellMar>
        <w:tblLook w:val="04A0"/>
      </w:tblPr>
      <w:tblGrid>
        <w:gridCol w:w="1990"/>
        <w:gridCol w:w="2693"/>
        <w:gridCol w:w="2410"/>
        <w:gridCol w:w="1984"/>
      </w:tblGrid>
      <w:tr w:rsidR="00313E7E" w:rsidTr="00313E7E">
        <w:trPr>
          <w:trHeight w:val="600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E7E" w:rsidRPr="00313E7E" w:rsidRDefault="00313E7E" w:rsidP="00313E7E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7E" w:rsidRPr="00313E7E" w:rsidRDefault="00313E7E" w:rsidP="00313E7E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Плотность излучения мкВт/</w:t>
            </w:r>
            <w:proofErr w:type="gramStart"/>
            <w:r w:rsidRPr="00313E7E">
              <w:rPr>
                <w:b/>
                <w:color w:val="000000"/>
                <w:sz w:val="24"/>
                <w:szCs w:val="24"/>
              </w:rPr>
              <w:t>см</w:t>
            </w:r>
            <w:proofErr w:type="gramEnd"/>
            <w:r w:rsidRPr="00313E7E">
              <w:rPr>
                <w:b/>
                <w:color w:val="000000"/>
                <w:sz w:val="24"/>
                <w:szCs w:val="24"/>
              </w:rPr>
              <w:t xml:space="preserve">^2 без </w:t>
            </w:r>
            <w:proofErr w:type="spellStart"/>
            <w:r w:rsidRPr="00313E7E">
              <w:rPr>
                <w:b/>
                <w:color w:val="000000"/>
                <w:sz w:val="24"/>
                <w:szCs w:val="24"/>
              </w:rPr>
              <w:t>экр</w:t>
            </w:r>
            <w:proofErr w:type="spellEnd"/>
            <w:r w:rsidRPr="00313E7E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E7E" w:rsidRPr="00313E7E" w:rsidRDefault="00313E7E" w:rsidP="00313E7E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Плотность излучения мкВт/</w:t>
            </w:r>
            <w:proofErr w:type="gramStart"/>
            <w:r w:rsidRPr="00313E7E">
              <w:rPr>
                <w:b/>
                <w:color w:val="000000"/>
                <w:sz w:val="24"/>
                <w:szCs w:val="24"/>
              </w:rPr>
              <w:t>см</w:t>
            </w:r>
            <w:proofErr w:type="gramEnd"/>
            <w:r w:rsidRPr="00313E7E">
              <w:rPr>
                <w:b/>
                <w:color w:val="000000"/>
                <w:sz w:val="24"/>
                <w:szCs w:val="24"/>
              </w:rPr>
              <w:t xml:space="preserve">^2 с </w:t>
            </w:r>
            <w:proofErr w:type="spellStart"/>
            <w:r w:rsidRPr="00313E7E">
              <w:rPr>
                <w:b/>
                <w:color w:val="000000"/>
                <w:sz w:val="24"/>
                <w:szCs w:val="24"/>
              </w:rPr>
              <w:t>экр</w:t>
            </w:r>
            <w:proofErr w:type="spellEnd"/>
            <w:r w:rsidRPr="00313E7E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E7E" w:rsidRPr="00313E7E" w:rsidRDefault="00313E7E" w:rsidP="00313E7E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Эффективность %</w:t>
            </w:r>
          </w:p>
        </w:tc>
      </w:tr>
      <w:tr w:rsidR="00313E7E" w:rsidTr="00313E7E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Картон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4.5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66.66666667</w:t>
            </w:r>
          </w:p>
        </w:tc>
      </w:tr>
      <w:tr w:rsidR="00313E7E" w:rsidTr="00313E7E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Алюминий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4.5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77.77777778</w:t>
            </w:r>
          </w:p>
        </w:tc>
      </w:tr>
      <w:tr w:rsidR="00313E7E" w:rsidTr="00313E7E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Пластик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4.5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73.33333333</w:t>
            </w:r>
          </w:p>
        </w:tc>
      </w:tr>
      <w:tr w:rsidR="00313E7E" w:rsidTr="00313E7E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Резина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4.5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1.8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60</w:t>
            </w:r>
          </w:p>
        </w:tc>
      </w:tr>
      <w:tr w:rsidR="00313E7E" w:rsidTr="00313E7E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Мелкая сеть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4.5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0.3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93.33333333</w:t>
            </w:r>
          </w:p>
        </w:tc>
      </w:tr>
      <w:tr w:rsidR="00313E7E" w:rsidTr="00313E7E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13E7E">
              <w:rPr>
                <w:b/>
                <w:color w:val="000000"/>
                <w:sz w:val="24"/>
                <w:szCs w:val="24"/>
              </w:rPr>
              <w:t>Крупная сеть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4.5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E7E" w:rsidRPr="00313E7E" w:rsidRDefault="00313E7E" w:rsidP="00313E7E">
            <w:pPr>
              <w:jc w:val="center"/>
              <w:rPr>
                <w:color w:val="000000"/>
                <w:sz w:val="24"/>
                <w:szCs w:val="24"/>
              </w:rPr>
            </w:pPr>
            <w:r w:rsidRPr="00313E7E">
              <w:rPr>
                <w:color w:val="000000"/>
                <w:sz w:val="24"/>
                <w:szCs w:val="24"/>
              </w:rPr>
              <w:t>83.33333333</w:t>
            </w:r>
          </w:p>
        </w:tc>
      </w:tr>
    </w:tbl>
    <w:p w:rsidR="002137A4" w:rsidRPr="00712A44" w:rsidRDefault="002137A4" w:rsidP="00313E7E">
      <w:pPr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137A4" w:rsidRDefault="002137A4" w:rsidP="00D52B08">
      <w:pPr>
        <w:rPr>
          <w:rFonts w:ascii="Times New Roman" w:hAnsi="Times New Roman"/>
          <w:sz w:val="28"/>
          <w:szCs w:val="28"/>
        </w:rPr>
      </w:pPr>
    </w:p>
    <w:p w:rsidR="00313E7E" w:rsidRDefault="00313E7E" w:rsidP="00313E7E">
      <w:pPr>
        <w:ind w:firstLine="0"/>
        <w:jc w:val="both"/>
        <w:rPr>
          <w:rFonts w:ascii="Times New Roman" w:hAnsi="Times New Roman"/>
          <w:sz w:val="28"/>
          <w:szCs w:val="28"/>
        </w:rPr>
      </w:pPr>
      <w:r w:rsidRPr="00313E7E"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62625" cy="3238500"/>
            <wp:effectExtent l="1905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13E7E" w:rsidRDefault="00313E7E" w:rsidP="00D52B08">
      <w:pPr>
        <w:rPr>
          <w:rFonts w:ascii="Times New Roman" w:hAnsi="Times New Roman"/>
          <w:sz w:val="28"/>
          <w:szCs w:val="28"/>
        </w:rPr>
      </w:pPr>
    </w:p>
    <w:p w:rsidR="00313E7E" w:rsidRDefault="00313E7E" w:rsidP="00313E7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13E7E" w:rsidRDefault="00313E7E" w:rsidP="00313E7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13E7E" w:rsidRDefault="00313E7E" w:rsidP="00313E7E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313E7E"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05475" cy="3139440"/>
            <wp:effectExtent l="19050" t="0" r="9525" b="381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13E7E" w:rsidRDefault="00313E7E" w:rsidP="00313E7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13E7E" w:rsidRDefault="00313E7E" w:rsidP="00D52B08">
      <w:pPr>
        <w:rPr>
          <w:rFonts w:ascii="Times New Roman" w:hAnsi="Times New Roman"/>
          <w:sz w:val="28"/>
          <w:szCs w:val="28"/>
        </w:rPr>
      </w:pPr>
    </w:p>
    <w:p w:rsidR="00313E7E" w:rsidRDefault="00313E7E" w:rsidP="008116BF">
      <w:pPr>
        <w:shd w:val="clear" w:color="auto" w:fill="FFFFFF"/>
        <w:spacing w:line="360" w:lineRule="auto"/>
        <w:jc w:val="both"/>
        <w:rPr>
          <w:rFonts w:ascii="Times New Roman" w:hAnsi="Times New Roman"/>
          <w:b/>
          <w:color w:val="000000"/>
          <w:sz w:val="32"/>
          <w:szCs w:val="32"/>
        </w:rPr>
      </w:pPr>
    </w:p>
    <w:p w:rsidR="00313E7E" w:rsidRDefault="00313E7E" w:rsidP="008116BF">
      <w:pPr>
        <w:shd w:val="clear" w:color="auto" w:fill="FFFFFF"/>
        <w:spacing w:line="360" w:lineRule="auto"/>
        <w:jc w:val="both"/>
        <w:rPr>
          <w:rFonts w:ascii="Times New Roman" w:hAnsi="Times New Roman"/>
          <w:b/>
          <w:color w:val="000000"/>
          <w:sz w:val="32"/>
          <w:szCs w:val="32"/>
        </w:rPr>
      </w:pPr>
    </w:p>
    <w:p w:rsidR="00D52B08" w:rsidRPr="008116BF" w:rsidRDefault="008116BF" w:rsidP="008116BF">
      <w:p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137A4">
        <w:rPr>
          <w:rFonts w:ascii="Times New Roman" w:hAnsi="Times New Roman"/>
          <w:b/>
          <w:color w:val="000000"/>
          <w:sz w:val="32"/>
          <w:szCs w:val="32"/>
        </w:rPr>
        <w:t>Вывод: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13E7E">
        <w:rPr>
          <w:rFonts w:ascii="Times New Roman" w:hAnsi="Times New Roman"/>
          <w:color w:val="000000"/>
          <w:sz w:val="28"/>
          <w:szCs w:val="28"/>
        </w:rPr>
        <w:t>В ходе</w:t>
      </w:r>
      <w:r w:rsidR="00E6125C">
        <w:rPr>
          <w:rFonts w:ascii="Times New Roman" w:hAnsi="Times New Roman"/>
          <w:color w:val="000000"/>
          <w:sz w:val="28"/>
          <w:szCs w:val="28"/>
        </w:rPr>
        <w:t xml:space="preserve"> исследования</w:t>
      </w:r>
      <w:r w:rsidR="00313E7E">
        <w:rPr>
          <w:rFonts w:ascii="Times New Roman" w:hAnsi="Times New Roman"/>
          <w:color w:val="000000"/>
          <w:sz w:val="28"/>
          <w:szCs w:val="28"/>
        </w:rPr>
        <w:t>,</w:t>
      </w:r>
      <w:r w:rsidR="00E6125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13E7E">
        <w:rPr>
          <w:rFonts w:ascii="Times New Roman" w:hAnsi="Times New Roman"/>
          <w:color w:val="000000"/>
          <w:sz w:val="28"/>
          <w:szCs w:val="28"/>
        </w:rPr>
        <w:t>были изучены основные характеристики электромагнитного излучения сверхвысокого диапазона, освоены способы измерения электромагнитного излучения с помощью мультиметра, а так же установлены параметры эффективности защитного экранирования при использовании различных материалов. Наилучшие защитные свойства показала мелкоячеистая металлическая сеть, ее показатель эффективности экранирования составил 93.3%.</w:t>
      </w:r>
    </w:p>
    <w:p w:rsidR="00830256" w:rsidRDefault="00830256"/>
    <w:sectPr w:rsidR="00830256" w:rsidSect="00830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25523"/>
    <w:multiLevelType w:val="hybridMultilevel"/>
    <w:tmpl w:val="E028E778"/>
    <w:lvl w:ilvl="0" w:tplc="FE7EEBD6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2B08"/>
    <w:rsid w:val="00165B0A"/>
    <w:rsid w:val="002137A4"/>
    <w:rsid w:val="0031040B"/>
    <w:rsid w:val="00313E7E"/>
    <w:rsid w:val="005E4F46"/>
    <w:rsid w:val="00705427"/>
    <w:rsid w:val="00807FE8"/>
    <w:rsid w:val="008116BF"/>
    <w:rsid w:val="00830256"/>
    <w:rsid w:val="00877E80"/>
    <w:rsid w:val="008A3CD9"/>
    <w:rsid w:val="00922A57"/>
    <w:rsid w:val="009C6EF1"/>
    <w:rsid w:val="00A73829"/>
    <w:rsid w:val="00B57BCD"/>
    <w:rsid w:val="00C07E9A"/>
    <w:rsid w:val="00CB3188"/>
    <w:rsid w:val="00CC140F"/>
    <w:rsid w:val="00D5267B"/>
    <w:rsid w:val="00D52B08"/>
    <w:rsid w:val="00DF2A8B"/>
    <w:rsid w:val="00E120AA"/>
    <w:rsid w:val="00E6125C"/>
    <w:rsid w:val="00F07CF3"/>
    <w:rsid w:val="00FD3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B08"/>
    <w:pPr>
      <w:spacing w:after="0" w:line="240" w:lineRule="auto"/>
      <w:ind w:firstLine="567"/>
      <w:jc w:val="righ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D52B08"/>
    <w:pPr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D52B0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laceholder Text"/>
    <w:basedOn w:val="a0"/>
    <w:uiPriority w:val="99"/>
    <w:semiHidden/>
    <w:rsid w:val="00B57BC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57B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57BCD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rsid w:val="002137A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8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83;&#1077;&#1082;&#1089;&#1072;&#1085;&#1076;&#1088;\Desktop\&#1057;&#1072;&#1096;&#1072;\&#1059;&#1095;&#1077;&#1073;&#1072;\4%20&#1082;&#1091;&#1088;&#1089;\&#1041;&#1046;&#1044;%20(&#1041;&#1077;&#1088;&#1076;&#1099;&#1096;&#1077;&#1074;)\&#1054;&#1090;&#1095;&#1077;&#1090;&#1099;\LabaChSV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83;&#1077;&#1082;&#1089;&#1072;&#1085;&#1076;&#1088;\Desktop\&#1057;&#1072;&#1096;&#1072;\&#1059;&#1095;&#1077;&#1073;&#1072;\4%20&#1082;&#1091;&#1088;&#1089;\&#1041;&#1046;&#1044;%20(&#1041;&#1077;&#1088;&#1076;&#1099;&#1096;&#1077;&#1074;)\&#1054;&#1090;&#1095;&#1077;&#1090;&#1099;\LabaChSV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scatterChart>
        <c:scatterStyle val="smoothMarker"/>
        <c:ser>
          <c:idx val="0"/>
          <c:order val="0"/>
          <c:tx>
            <c:v>ППЭ</c:v>
          </c:tx>
          <c:xVal>
            <c:numRef>
              <c:f>Лист1!$C$3:$C$13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xVal>
          <c:yVal>
            <c:numRef>
              <c:f>Лист1!$G$3:$G$13</c:f>
              <c:numCache>
                <c:formatCode>General</c:formatCode>
                <c:ptCount val="11"/>
                <c:pt idx="0">
                  <c:v>4.55</c:v>
                </c:pt>
                <c:pt idx="1">
                  <c:v>2.9049999999999998</c:v>
                </c:pt>
                <c:pt idx="2">
                  <c:v>2.3449999999999998</c:v>
                </c:pt>
                <c:pt idx="3">
                  <c:v>1.4</c:v>
                </c:pt>
                <c:pt idx="4">
                  <c:v>1.085</c:v>
                </c:pt>
                <c:pt idx="5">
                  <c:v>1.54</c:v>
                </c:pt>
                <c:pt idx="6">
                  <c:v>1.575</c:v>
                </c:pt>
                <c:pt idx="7">
                  <c:v>1.47</c:v>
                </c:pt>
                <c:pt idx="8">
                  <c:v>1.085</c:v>
                </c:pt>
                <c:pt idx="9">
                  <c:v>0.80499999999999994</c:v>
                </c:pt>
                <c:pt idx="10">
                  <c:v>0.70000000000000007</c:v>
                </c:pt>
              </c:numCache>
            </c:numRef>
          </c:yVal>
          <c:smooth val="1"/>
        </c:ser>
        <c:axId val="154996736"/>
        <c:axId val="154998272"/>
      </c:scatterChart>
      <c:valAx>
        <c:axId val="154996736"/>
        <c:scaling>
          <c:orientation val="minMax"/>
        </c:scaling>
        <c:axPos val="b"/>
        <c:numFmt formatCode="General" sourceLinked="1"/>
        <c:tickLblPos val="nextTo"/>
        <c:crossAx val="154998272"/>
        <c:crosses val="autoZero"/>
        <c:crossBetween val="midCat"/>
      </c:valAx>
      <c:valAx>
        <c:axId val="154998272"/>
        <c:scaling>
          <c:orientation val="minMax"/>
        </c:scaling>
        <c:axPos val="l"/>
        <c:majorGridlines/>
        <c:numFmt formatCode="General" sourceLinked="1"/>
        <c:tickLblPos val="nextTo"/>
        <c:crossAx val="15499673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Лист1!$J$3</c:f>
              <c:strCache>
                <c:ptCount val="1"/>
                <c:pt idx="0">
                  <c:v>Картон</c:v>
                </c:pt>
              </c:strCache>
            </c:strRef>
          </c:tx>
          <c:cat>
            <c:strLit>
              <c:ptCount val="1"/>
              <c:pt idx="0">
                <c:v>Эффективность экранирования %</c:v>
              </c:pt>
            </c:strLit>
          </c:cat>
          <c:val>
            <c:numRef>
              <c:f>Лист1!$M$3</c:f>
              <c:numCache>
                <c:formatCode>General</c:formatCode>
                <c:ptCount val="1"/>
                <c:pt idx="0">
                  <c:v>66.666666666666657</c:v>
                </c:pt>
              </c:numCache>
            </c:numRef>
          </c:val>
        </c:ser>
        <c:ser>
          <c:idx val="1"/>
          <c:order val="1"/>
          <c:tx>
            <c:strRef>
              <c:f>Лист1!$J$4</c:f>
              <c:strCache>
                <c:ptCount val="1"/>
                <c:pt idx="0">
                  <c:v>Алюминий</c:v>
                </c:pt>
              </c:strCache>
            </c:strRef>
          </c:tx>
          <c:cat>
            <c:strLit>
              <c:ptCount val="1"/>
              <c:pt idx="0">
                <c:v>Эффективность экранирования %</c:v>
              </c:pt>
            </c:strLit>
          </c:cat>
          <c:val>
            <c:numRef>
              <c:f>Лист1!$M$4</c:f>
              <c:numCache>
                <c:formatCode>General</c:formatCode>
                <c:ptCount val="1"/>
                <c:pt idx="0">
                  <c:v>77.777777777777771</c:v>
                </c:pt>
              </c:numCache>
            </c:numRef>
          </c:val>
        </c:ser>
        <c:ser>
          <c:idx val="2"/>
          <c:order val="2"/>
          <c:tx>
            <c:strRef>
              <c:f>Лист1!$J$5</c:f>
              <c:strCache>
                <c:ptCount val="1"/>
                <c:pt idx="0">
                  <c:v>Пластик</c:v>
                </c:pt>
              </c:strCache>
            </c:strRef>
          </c:tx>
          <c:cat>
            <c:strLit>
              <c:ptCount val="1"/>
              <c:pt idx="0">
                <c:v>Эффективность экранирования %</c:v>
              </c:pt>
            </c:strLit>
          </c:cat>
          <c:val>
            <c:numRef>
              <c:f>Лист1!$M$5</c:f>
              <c:numCache>
                <c:formatCode>General</c:formatCode>
                <c:ptCount val="1"/>
                <c:pt idx="0">
                  <c:v>73.333333333333314</c:v>
                </c:pt>
              </c:numCache>
            </c:numRef>
          </c:val>
        </c:ser>
        <c:ser>
          <c:idx val="3"/>
          <c:order val="3"/>
          <c:tx>
            <c:strRef>
              <c:f>Лист1!$J$6</c:f>
              <c:strCache>
                <c:ptCount val="1"/>
                <c:pt idx="0">
                  <c:v>Резина</c:v>
                </c:pt>
              </c:strCache>
            </c:strRef>
          </c:tx>
          <c:cat>
            <c:strLit>
              <c:ptCount val="1"/>
              <c:pt idx="0">
                <c:v>Эффективность экранирования %</c:v>
              </c:pt>
            </c:strLit>
          </c:cat>
          <c:val>
            <c:numRef>
              <c:f>Лист1!$M$6</c:f>
              <c:numCache>
                <c:formatCode>General</c:formatCode>
                <c:ptCount val="1"/>
                <c:pt idx="0">
                  <c:v>60.000000000000007</c:v>
                </c:pt>
              </c:numCache>
            </c:numRef>
          </c:val>
        </c:ser>
        <c:ser>
          <c:idx val="4"/>
          <c:order val="4"/>
          <c:tx>
            <c:strRef>
              <c:f>Лист1!$J$7</c:f>
              <c:strCache>
                <c:ptCount val="1"/>
                <c:pt idx="0">
                  <c:v>Мелкая сеть</c:v>
                </c:pt>
              </c:strCache>
            </c:strRef>
          </c:tx>
          <c:cat>
            <c:strLit>
              <c:ptCount val="1"/>
              <c:pt idx="0">
                <c:v>Эффективность экранирования %</c:v>
              </c:pt>
            </c:strLit>
          </c:cat>
          <c:val>
            <c:numRef>
              <c:f>Лист1!$M$7</c:f>
              <c:numCache>
                <c:formatCode>General</c:formatCode>
                <c:ptCount val="1"/>
                <c:pt idx="0">
                  <c:v>93.333333333333314</c:v>
                </c:pt>
              </c:numCache>
            </c:numRef>
          </c:val>
        </c:ser>
        <c:ser>
          <c:idx val="5"/>
          <c:order val="5"/>
          <c:tx>
            <c:strRef>
              <c:f>Лист1!$J$8</c:f>
              <c:strCache>
                <c:ptCount val="1"/>
                <c:pt idx="0">
                  <c:v>Крупная сеть</c:v>
                </c:pt>
              </c:strCache>
            </c:strRef>
          </c:tx>
          <c:cat>
            <c:strLit>
              <c:ptCount val="1"/>
              <c:pt idx="0">
                <c:v>Эффективность экранирования %</c:v>
              </c:pt>
            </c:strLit>
          </c:cat>
          <c:val>
            <c:numRef>
              <c:f>Лист1!$M$8</c:f>
              <c:numCache>
                <c:formatCode>General</c:formatCode>
                <c:ptCount val="1"/>
                <c:pt idx="0">
                  <c:v>83.333333333333329</c:v>
                </c:pt>
              </c:numCache>
            </c:numRef>
          </c:val>
        </c:ser>
        <c:axId val="159921280"/>
        <c:axId val="159922816"/>
      </c:barChart>
      <c:catAx>
        <c:axId val="159921280"/>
        <c:scaling>
          <c:orientation val="minMax"/>
        </c:scaling>
        <c:axPos val="b"/>
        <c:tickLblPos val="nextTo"/>
        <c:crossAx val="159922816"/>
        <c:crosses val="autoZero"/>
        <c:auto val="1"/>
        <c:lblAlgn val="ctr"/>
        <c:lblOffset val="100"/>
      </c:catAx>
      <c:valAx>
        <c:axId val="159922816"/>
        <c:scaling>
          <c:orientation val="minMax"/>
        </c:scaling>
        <c:axPos val="l"/>
        <c:majorGridlines/>
        <c:numFmt formatCode="General" sourceLinked="1"/>
        <c:tickLblPos val="nextTo"/>
        <c:crossAx val="1599212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</dc:creator>
  <cp:lastModifiedBy>Александр</cp:lastModifiedBy>
  <cp:revision>3</cp:revision>
  <dcterms:created xsi:type="dcterms:W3CDTF">2018-03-22T23:47:00Z</dcterms:created>
  <dcterms:modified xsi:type="dcterms:W3CDTF">2018-03-27T18:40:00Z</dcterms:modified>
</cp:coreProperties>
</file>