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455C8" w14:textId="77777777" w:rsidR="00E30E58" w:rsidRPr="00E30E58" w:rsidRDefault="00E30E58" w:rsidP="00962BC8">
      <w:pPr>
        <w:jc w:val="center"/>
        <w:rPr>
          <w:b/>
          <w:bCs/>
          <w:sz w:val="30"/>
          <w:szCs w:val="30"/>
        </w:rPr>
      </w:pPr>
      <w:r w:rsidRPr="00E30E58">
        <w:rPr>
          <w:b/>
          <w:bCs/>
          <w:sz w:val="30"/>
          <w:szCs w:val="30"/>
        </w:rPr>
        <w:t>Australian Apparel Sales Performance Analysis: Q4 2020</w:t>
      </w:r>
    </w:p>
    <w:p w14:paraId="318BC9AD" w14:textId="77777777" w:rsidR="00E30E58" w:rsidRPr="00E30E58" w:rsidRDefault="00E30E58" w:rsidP="00BA62AE">
      <w:pPr>
        <w:jc w:val="center"/>
        <w:rPr>
          <w:b/>
          <w:bCs/>
        </w:rPr>
      </w:pPr>
      <w:r w:rsidRPr="00E30E58">
        <w:rPr>
          <w:b/>
          <w:bCs/>
        </w:rPr>
        <w:t>Executive Summary</w:t>
      </w:r>
    </w:p>
    <w:p w14:paraId="5AC4BA87" w14:textId="67B8662F" w:rsidR="00E30E58" w:rsidRPr="00E30E58" w:rsidRDefault="00E30E58" w:rsidP="00E30E58">
      <w:r w:rsidRPr="00E30E58">
        <w:t xml:space="preserve">The Australian apparel market in Q4 2020 demonstrated significant activity, with total sales reaching approximately $340.3 million. The sales data is right-skewed, indicating that while most transactions involve a smaller number of units, some high sales </w:t>
      </w:r>
      <w:r w:rsidR="003B5FC3" w:rsidRPr="00E30E58">
        <w:t>value</w:t>
      </w:r>
      <w:r w:rsidRPr="00E30E58">
        <w:t xml:space="preserve"> significantly influence the average. Victoria (VIC) consistently emerged as the top-performing state throughout the quarter, while Western Australia (WA) recorded the lowest sales. In terms of demographic performance, the Men's apparel group generated the highest sales, whereas the Seniors group recorded the lowest.</w:t>
      </w:r>
    </w:p>
    <w:p w14:paraId="4834AE3A" w14:textId="77777777" w:rsidR="00E30E58" w:rsidRPr="00E30E58" w:rsidRDefault="00E30E58" w:rsidP="00E30E58">
      <w:pPr>
        <w:rPr>
          <w:b/>
          <w:bCs/>
        </w:rPr>
      </w:pPr>
      <w:r w:rsidRPr="00E30E58">
        <w:rPr>
          <w:b/>
          <w:bCs/>
        </w:rPr>
        <w:t>Key Performance Indicators &amp; Insights</w:t>
      </w:r>
    </w:p>
    <w:p w14:paraId="280CB11A" w14:textId="77777777" w:rsidR="00E30E58" w:rsidRPr="00E30E58" w:rsidRDefault="00E30E58" w:rsidP="00E30E58">
      <w:pPr>
        <w:rPr>
          <w:b/>
          <w:bCs/>
        </w:rPr>
      </w:pPr>
      <w:proofErr w:type="gramStart"/>
      <w:r w:rsidRPr="00E30E58">
        <w:rPr>
          <w:b/>
          <w:bCs/>
        </w:rPr>
        <w:t>Overall</w:t>
      </w:r>
      <w:proofErr w:type="gramEnd"/>
      <w:r w:rsidRPr="00E30E58">
        <w:rPr>
          <w:b/>
          <w:bCs/>
        </w:rPr>
        <w:t xml:space="preserve"> Sales &amp; Units</w:t>
      </w:r>
    </w:p>
    <w:p w14:paraId="09F2F79C" w14:textId="77777777" w:rsidR="00E30E58" w:rsidRPr="00E30E58" w:rsidRDefault="00E30E58" w:rsidP="00E30E58">
      <w:pPr>
        <w:numPr>
          <w:ilvl w:val="0"/>
          <w:numId w:val="10"/>
        </w:numPr>
      </w:pPr>
      <w:r w:rsidRPr="00E30E58">
        <w:rPr>
          <w:b/>
          <w:bCs/>
        </w:rPr>
        <w:t>Total Sales:</w:t>
      </w:r>
      <w:r w:rsidRPr="00E30E58">
        <w:t xml:space="preserve"> The fourth quarter of 2020 saw total sales of approximately $340,302,496.</w:t>
      </w:r>
    </w:p>
    <w:p w14:paraId="4911C1E3" w14:textId="77777777" w:rsidR="00E30E58" w:rsidRPr="00E30E58" w:rsidRDefault="00E30E58" w:rsidP="00E30E58">
      <w:pPr>
        <w:numPr>
          <w:ilvl w:val="0"/>
          <w:numId w:val="10"/>
        </w:numPr>
      </w:pPr>
      <w:r w:rsidRPr="00E30E58">
        <w:rPr>
          <w:b/>
          <w:bCs/>
        </w:rPr>
        <w:t>Average Sales:</w:t>
      </w:r>
      <w:r w:rsidRPr="00E30E58">
        <w:t xml:space="preserve"> The mean sales value was $45,013.56, with a median of $35,000.00. This right-skewed distribution indicates that higher-value transactions pull the average up. The most frequent sales value (mode) was $22,500.</w:t>
      </w:r>
    </w:p>
    <w:p w14:paraId="4947ED5E" w14:textId="77777777" w:rsidR="00E30E58" w:rsidRPr="00E30E58" w:rsidRDefault="00E30E58" w:rsidP="00E30E58">
      <w:pPr>
        <w:numPr>
          <w:ilvl w:val="0"/>
          <w:numId w:val="10"/>
        </w:numPr>
      </w:pPr>
      <w:r w:rsidRPr="00E30E58">
        <w:rPr>
          <w:b/>
          <w:bCs/>
        </w:rPr>
        <w:t>Average Units Sold:</w:t>
      </w:r>
      <w:r w:rsidRPr="00E30E58">
        <w:t xml:space="preserve"> The mean number of units sold per transaction was 18.01, and the median was 14.00, also suggesting a right-skewed distribution, meaning most transactions involved fewer units. The most frequent number of units sold was 9.</w:t>
      </w:r>
    </w:p>
    <w:p w14:paraId="676A090F" w14:textId="77777777" w:rsidR="00E30E58" w:rsidRPr="00E30E58" w:rsidRDefault="00E30E58" w:rsidP="00E30E58">
      <w:pPr>
        <w:numPr>
          <w:ilvl w:val="0"/>
          <w:numId w:val="10"/>
        </w:numPr>
      </w:pPr>
      <w:r w:rsidRPr="00E30E58">
        <w:rPr>
          <w:b/>
          <w:bCs/>
        </w:rPr>
        <w:t>Sales Variability:</w:t>
      </w:r>
      <w:r w:rsidRPr="00E30E58">
        <w:t xml:space="preserve"> A standard deviation of $</w:t>
      </w:r>
      <w:proofErr w:type="gramStart"/>
      <w:r w:rsidRPr="00E30E58">
        <w:t>32,253.60</w:t>
      </w:r>
      <w:proofErr w:type="gramEnd"/>
      <w:r w:rsidRPr="00E30E58">
        <w:t xml:space="preserve"> for sales and 12.90 for units indicates a moderate spread in sales values and units sold per transaction.</w:t>
      </w:r>
    </w:p>
    <w:p w14:paraId="69EA8373" w14:textId="77777777" w:rsidR="00E30E58" w:rsidRPr="00E30E58" w:rsidRDefault="00E30E58" w:rsidP="00E30E58">
      <w:pPr>
        <w:rPr>
          <w:b/>
          <w:bCs/>
        </w:rPr>
      </w:pPr>
      <w:r w:rsidRPr="00E30E58">
        <w:rPr>
          <w:b/>
          <w:bCs/>
        </w:rPr>
        <w:t>Performance by State</w:t>
      </w:r>
    </w:p>
    <w:p w14:paraId="64C1CE68" w14:textId="77777777" w:rsidR="00E30E58" w:rsidRPr="00E30E58" w:rsidRDefault="00E30E58" w:rsidP="00E30E58">
      <w:pPr>
        <w:numPr>
          <w:ilvl w:val="0"/>
          <w:numId w:val="11"/>
        </w:numPr>
      </w:pPr>
      <w:r w:rsidRPr="00E30E58">
        <w:rPr>
          <w:b/>
          <w:bCs/>
        </w:rPr>
        <w:t>Top Performing State:</w:t>
      </w:r>
      <w:r w:rsidRPr="00E30E58">
        <w:t xml:space="preserve"> Victoria (VIC) was the top-performing state for the entire fourth quarter. VIC also consistently led in sales across individual weeks and months within the quarter.</w:t>
      </w:r>
    </w:p>
    <w:p w14:paraId="7A1860BE" w14:textId="77777777" w:rsidR="00E30E58" w:rsidRPr="00E30E58" w:rsidRDefault="00E30E58" w:rsidP="00E30E58">
      <w:pPr>
        <w:numPr>
          <w:ilvl w:val="0"/>
          <w:numId w:val="11"/>
        </w:numPr>
      </w:pPr>
      <w:r w:rsidRPr="00E30E58">
        <w:rPr>
          <w:b/>
          <w:bCs/>
        </w:rPr>
        <w:t>Lowest Performing State:</w:t>
      </w:r>
      <w:r w:rsidRPr="00E30E58">
        <w:t xml:space="preserve"> Western Australia (WA) recorded the lowest sales performance during Q4 2020.</w:t>
      </w:r>
    </w:p>
    <w:p w14:paraId="1444479F" w14:textId="77777777" w:rsidR="00E30E58" w:rsidRPr="00E30E58" w:rsidRDefault="00E30E58" w:rsidP="00E30E58">
      <w:pPr>
        <w:rPr>
          <w:b/>
          <w:bCs/>
        </w:rPr>
      </w:pPr>
      <w:r w:rsidRPr="00E30E58">
        <w:rPr>
          <w:b/>
          <w:bCs/>
        </w:rPr>
        <w:t>Performance by Demographic Group</w:t>
      </w:r>
    </w:p>
    <w:p w14:paraId="1A7C5623" w14:textId="77777777" w:rsidR="00E30E58" w:rsidRPr="00E30E58" w:rsidRDefault="00E30E58" w:rsidP="00E30E58">
      <w:pPr>
        <w:numPr>
          <w:ilvl w:val="0"/>
          <w:numId w:val="12"/>
        </w:numPr>
      </w:pPr>
      <w:r w:rsidRPr="00E30E58">
        <w:rPr>
          <w:b/>
          <w:bCs/>
        </w:rPr>
        <w:t>Highest Sales Group:</w:t>
      </w:r>
      <w:r w:rsidRPr="00E30E58">
        <w:t xml:space="preserve"> The Men's apparel group achieved the highest sales for the fourth quarter, totaling approximately $85.8 million.</w:t>
      </w:r>
    </w:p>
    <w:p w14:paraId="2F01391C" w14:textId="77777777" w:rsidR="00E30E58" w:rsidRPr="00E30E58" w:rsidRDefault="00E30E58" w:rsidP="00E30E58">
      <w:pPr>
        <w:numPr>
          <w:ilvl w:val="0"/>
          <w:numId w:val="12"/>
        </w:numPr>
      </w:pPr>
      <w:r w:rsidRPr="00E30E58">
        <w:rPr>
          <w:b/>
          <w:bCs/>
        </w:rPr>
        <w:t>Lowest Sales Group:</w:t>
      </w:r>
      <w:r w:rsidRPr="00E30E58">
        <w:t xml:space="preserve"> The Seniors apparel group had the lowest sales in Q4, approximately $84 million.</w:t>
      </w:r>
    </w:p>
    <w:p w14:paraId="5CF8AA15" w14:textId="77777777" w:rsidR="00E30E58" w:rsidRPr="00E30E58" w:rsidRDefault="00E30E58" w:rsidP="00E30E58">
      <w:pPr>
        <w:rPr>
          <w:b/>
          <w:bCs/>
        </w:rPr>
      </w:pPr>
      <w:r w:rsidRPr="00E30E58">
        <w:rPr>
          <w:b/>
          <w:bCs/>
        </w:rPr>
        <w:t>Monthly Trends (Q4 2020)</w:t>
      </w:r>
    </w:p>
    <w:p w14:paraId="4AA1C956" w14:textId="77777777" w:rsidR="00E30E58" w:rsidRPr="00E30E58" w:rsidRDefault="00E30E58" w:rsidP="00E30E58">
      <w:pPr>
        <w:numPr>
          <w:ilvl w:val="0"/>
          <w:numId w:val="13"/>
        </w:numPr>
      </w:pPr>
      <w:r w:rsidRPr="00E30E58">
        <w:rPr>
          <w:b/>
          <w:bCs/>
        </w:rPr>
        <w:t>October:</w:t>
      </w:r>
      <w:r w:rsidRPr="00E30E58">
        <w:t xml:space="preserve"> Total Sales: $114.29 million. Top Performing State: VIC. Top Performing Group: Women.</w:t>
      </w:r>
    </w:p>
    <w:p w14:paraId="3BB5BCB0" w14:textId="77777777" w:rsidR="00E30E58" w:rsidRPr="00E30E58" w:rsidRDefault="00E30E58" w:rsidP="00E30E58">
      <w:pPr>
        <w:numPr>
          <w:ilvl w:val="0"/>
          <w:numId w:val="13"/>
        </w:numPr>
      </w:pPr>
      <w:r w:rsidRPr="00E30E58">
        <w:rPr>
          <w:b/>
          <w:bCs/>
        </w:rPr>
        <w:t>November:</w:t>
      </w:r>
      <w:r w:rsidRPr="00E30E58">
        <w:t xml:space="preserve"> Total Sales: $90.68 million. Top Performing State: VIC. Top Performing Group: Kids.</w:t>
      </w:r>
    </w:p>
    <w:p w14:paraId="46147A9D" w14:textId="77777777" w:rsidR="00E30E58" w:rsidRPr="00E30E58" w:rsidRDefault="00E30E58" w:rsidP="00E30E58">
      <w:pPr>
        <w:numPr>
          <w:ilvl w:val="0"/>
          <w:numId w:val="13"/>
        </w:numPr>
      </w:pPr>
      <w:r w:rsidRPr="00E30E58">
        <w:rPr>
          <w:b/>
          <w:bCs/>
        </w:rPr>
        <w:lastRenderedPageBreak/>
        <w:t>December:</w:t>
      </w:r>
      <w:r w:rsidRPr="00E30E58">
        <w:t xml:space="preserve"> Total Sales: $135.33 million. Top Performing State: VIC. Top Performing Group: Seniors.</w:t>
      </w:r>
    </w:p>
    <w:p w14:paraId="610D0AAB" w14:textId="77777777" w:rsidR="004477E5" w:rsidRDefault="004477E5" w:rsidP="004477E5">
      <w:pPr>
        <w:jc w:val="center"/>
        <w:rPr>
          <w:b/>
          <w:bCs/>
        </w:rPr>
      </w:pPr>
    </w:p>
    <w:p w14:paraId="1AB0A83D" w14:textId="7A246393" w:rsidR="00E30E58" w:rsidRPr="00E30E58" w:rsidRDefault="00E30E58" w:rsidP="004477E5">
      <w:pPr>
        <w:jc w:val="center"/>
        <w:rPr>
          <w:b/>
          <w:bCs/>
        </w:rPr>
      </w:pPr>
      <w:r w:rsidRPr="00E30E58">
        <w:rPr>
          <w:b/>
          <w:bCs/>
        </w:rPr>
        <w:t>Recommendations</w:t>
      </w:r>
    </w:p>
    <w:p w14:paraId="0632DF6A" w14:textId="57D26BEA" w:rsidR="00E30E58" w:rsidRPr="00E30E58" w:rsidRDefault="00E30E58" w:rsidP="00E30E58">
      <w:pPr>
        <w:numPr>
          <w:ilvl w:val="0"/>
          <w:numId w:val="14"/>
        </w:numPr>
      </w:pPr>
      <w:r w:rsidRPr="00E30E58">
        <w:rPr>
          <w:b/>
          <w:bCs/>
        </w:rPr>
        <w:t>Capitalize on Strengths in Victoria:</w:t>
      </w:r>
      <w:r w:rsidRPr="00E30E58">
        <w:t xml:space="preserve"> Given VIC's </w:t>
      </w:r>
      <w:r w:rsidR="00B43F10">
        <w:t>consistently</w:t>
      </w:r>
      <w:r w:rsidRPr="00E30E58">
        <w:t xml:space="preserve"> strong performance, consider increasing marketing efforts, optimizing inventory, and potentially introducing new product lines or exclusive collections in this state to further leverage its market potential.</w:t>
      </w:r>
    </w:p>
    <w:p w14:paraId="68B1A246" w14:textId="77777777" w:rsidR="00E30E58" w:rsidRPr="00E30E58" w:rsidRDefault="00E30E58" w:rsidP="00E30E58">
      <w:pPr>
        <w:numPr>
          <w:ilvl w:val="0"/>
          <w:numId w:val="14"/>
        </w:numPr>
      </w:pPr>
      <w:r w:rsidRPr="00E30E58">
        <w:rPr>
          <w:b/>
          <w:bCs/>
        </w:rPr>
        <w:t>Strategize for Underperforming States (e.g., WA):</w:t>
      </w:r>
      <w:r w:rsidRPr="00E30E58">
        <w:t xml:space="preserve"> Analyze the specific factors contributing to lower sales in states like Western Australia. This could involve targeted promotional campaigns, reviewing product assortment relevant to local preferences, or optimizing distribution channels to improve accessibility.</w:t>
      </w:r>
    </w:p>
    <w:p w14:paraId="01AB3D30" w14:textId="77777777" w:rsidR="00E30E58" w:rsidRPr="00E30E58" w:rsidRDefault="00E30E58" w:rsidP="00E30E58">
      <w:pPr>
        <w:numPr>
          <w:ilvl w:val="0"/>
          <w:numId w:val="14"/>
        </w:numPr>
      </w:pPr>
      <w:r w:rsidRPr="00E30E58">
        <w:rPr>
          <w:b/>
          <w:bCs/>
        </w:rPr>
        <w:t>Optimize for Top Performing Groups:</w:t>
      </w:r>
      <w:r w:rsidRPr="00E30E58">
        <w:t xml:space="preserve"> While Men's apparel is the highest-performing group overall, the monthly analysis shows shifts in top-performing groups (Women in Oct, Kids in Nov, Seniors in Dec). Tailor marketing campaigns and inventory management to align with these monthly shifts to maximize sales for each group during their peak periods.</w:t>
      </w:r>
    </w:p>
    <w:p w14:paraId="2157012D" w14:textId="00A75CFE" w:rsidR="00E30E58" w:rsidRPr="00E30E58" w:rsidRDefault="00E30E58" w:rsidP="00E30E58">
      <w:pPr>
        <w:numPr>
          <w:ilvl w:val="0"/>
          <w:numId w:val="14"/>
        </w:numPr>
      </w:pPr>
      <w:r w:rsidRPr="00E30E58">
        <w:rPr>
          <w:b/>
          <w:bCs/>
        </w:rPr>
        <w:t xml:space="preserve">Re-evaluate </w:t>
      </w:r>
      <w:r w:rsidR="00BA7E25">
        <w:rPr>
          <w:b/>
          <w:bCs/>
        </w:rPr>
        <w:t xml:space="preserve">the </w:t>
      </w:r>
      <w:r w:rsidRPr="00E30E58">
        <w:rPr>
          <w:b/>
          <w:bCs/>
        </w:rPr>
        <w:t>Seniors Segment Strategy:</w:t>
      </w:r>
      <w:r w:rsidRPr="00E30E58">
        <w:t xml:space="preserve"> The Seniors group consistently had the lowest overall sales. Investigate the reasons behind this, such as product relevance, marketing effectiveness, or pricing strategies. Consider surveying this demographic to understand their preferences and tailor offerings accordingly to boost sales in this segment.</w:t>
      </w:r>
    </w:p>
    <w:p w14:paraId="01480132" w14:textId="298581C2" w:rsidR="00E30E58" w:rsidRPr="00E30E58" w:rsidRDefault="00E30E58" w:rsidP="00E30E58">
      <w:pPr>
        <w:numPr>
          <w:ilvl w:val="0"/>
          <w:numId w:val="14"/>
        </w:numPr>
      </w:pPr>
      <w:r w:rsidRPr="00E30E58">
        <w:rPr>
          <w:b/>
          <w:bCs/>
        </w:rPr>
        <w:t>Leverage Data for Continuous Improvement:</w:t>
      </w:r>
      <w:r w:rsidRPr="00E30E58">
        <w:t xml:space="preserve"> The analysis highlights the value of disaggregated sales data (weekly, monthly, by state, by group). Continue to use these detailed reports to identify emerging trends, address underperforming areas promptly, and make data-driven decisions for future sales strategies.</w:t>
      </w:r>
    </w:p>
    <w:sectPr w:rsidR="00E30E58" w:rsidRPr="00E30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E00"/>
    <w:multiLevelType w:val="multilevel"/>
    <w:tmpl w:val="16DC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76FD2"/>
    <w:multiLevelType w:val="multilevel"/>
    <w:tmpl w:val="36F8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D0EDB"/>
    <w:multiLevelType w:val="multilevel"/>
    <w:tmpl w:val="33A0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66977"/>
    <w:multiLevelType w:val="multilevel"/>
    <w:tmpl w:val="7714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62617E"/>
    <w:multiLevelType w:val="multilevel"/>
    <w:tmpl w:val="BD4E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504176"/>
    <w:multiLevelType w:val="multilevel"/>
    <w:tmpl w:val="3B86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81417D"/>
    <w:multiLevelType w:val="multilevel"/>
    <w:tmpl w:val="499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C7CF0"/>
    <w:multiLevelType w:val="multilevel"/>
    <w:tmpl w:val="B778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5A58D2"/>
    <w:multiLevelType w:val="multilevel"/>
    <w:tmpl w:val="8ED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82C37"/>
    <w:multiLevelType w:val="multilevel"/>
    <w:tmpl w:val="FEA6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241670"/>
    <w:multiLevelType w:val="multilevel"/>
    <w:tmpl w:val="E6B2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842200"/>
    <w:multiLevelType w:val="multilevel"/>
    <w:tmpl w:val="3C3C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13DA7"/>
    <w:multiLevelType w:val="multilevel"/>
    <w:tmpl w:val="C67C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4D5AD2"/>
    <w:multiLevelType w:val="multilevel"/>
    <w:tmpl w:val="F5FE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3438062">
    <w:abstractNumId w:val="13"/>
  </w:num>
  <w:num w:numId="2" w16cid:durableId="2100757134">
    <w:abstractNumId w:val="11"/>
  </w:num>
  <w:num w:numId="3" w16cid:durableId="801073669">
    <w:abstractNumId w:val="1"/>
  </w:num>
  <w:num w:numId="4" w16cid:durableId="1359962279">
    <w:abstractNumId w:val="0"/>
  </w:num>
  <w:num w:numId="5" w16cid:durableId="747923368">
    <w:abstractNumId w:val="3"/>
  </w:num>
  <w:num w:numId="6" w16cid:durableId="1430351690">
    <w:abstractNumId w:val="9"/>
  </w:num>
  <w:num w:numId="7" w16cid:durableId="1406759288">
    <w:abstractNumId w:val="5"/>
  </w:num>
  <w:num w:numId="8" w16cid:durableId="1768496385">
    <w:abstractNumId w:val="8"/>
  </w:num>
  <w:num w:numId="9" w16cid:durableId="393434981">
    <w:abstractNumId w:val="7"/>
  </w:num>
  <w:num w:numId="10" w16cid:durableId="894052419">
    <w:abstractNumId w:val="10"/>
  </w:num>
  <w:num w:numId="11" w16cid:durableId="951593395">
    <w:abstractNumId w:val="6"/>
  </w:num>
  <w:num w:numId="12" w16cid:durableId="1263487295">
    <w:abstractNumId w:val="12"/>
  </w:num>
  <w:num w:numId="13" w16cid:durableId="1633946261">
    <w:abstractNumId w:val="2"/>
  </w:num>
  <w:num w:numId="14" w16cid:durableId="4858967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7E4"/>
    <w:rsid w:val="0001474B"/>
    <w:rsid w:val="003B5FC3"/>
    <w:rsid w:val="004477E5"/>
    <w:rsid w:val="0047440A"/>
    <w:rsid w:val="00561F7C"/>
    <w:rsid w:val="006E4942"/>
    <w:rsid w:val="00962BC8"/>
    <w:rsid w:val="00B1291B"/>
    <w:rsid w:val="00B43F10"/>
    <w:rsid w:val="00BA62AE"/>
    <w:rsid w:val="00BA7E25"/>
    <w:rsid w:val="00C978C5"/>
    <w:rsid w:val="00DE241B"/>
    <w:rsid w:val="00E30E58"/>
    <w:rsid w:val="00FA17E4"/>
    <w:rsid w:val="00FC0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9CE519"/>
  <w15:chartTrackingRefBased/>
  <w15:docId w15:val="{ACDAABA4-1ACE-4482-984B-077A41CC4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7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17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17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17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17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17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17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17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17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7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17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17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17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17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17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17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17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17E4"/>
    <w:rPr>
      <w:rFonts w:eastAsiaTheme="majorEastAsia" w:cstheme="majorBidi"/>
      <w:color w:val="272727" w:themeColor="text1" w:themeTint="D8"/>
    </w:rPr>
  </w:style>
  <w:style w:type="paragraph" w:styleId="Title">
    <w:name w:val="Title"/>
    <w:basedOn w:val="Normal"/>
    <w:next w:val="Normal"/>
    <w:link w:val="TitleChar"/>
    <w:uiPriority w:val="10"/>
    <w:qFormat/>
    <w:rsid w:val="00FA17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7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7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17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17E4"/>
    <w:pPr>
      <w:spacing w:before="160"/>
      <w:jc w:val="center"/>
    </w:pPr>
    <w:rPr>
      <w:i/>
      <w:iCs/>
      <w:color w:val="404040" w:themeColor="text1" w:themeTint="BF"/>
    </w:rPr>
  </w:style>
  <w:style w:type="character" w:customStyle="1" w:styleId="QuoteChar">
    <w:name w:val="Quote Char"/>
    <w:basedOn w:val="DefaultParagraphFont"/>
    <w:link w:val="Quote"/>
    <w:uiPriority w:val="29"/>
    <w:rsid w:val="00FA17E4"/>
    <w:rPr>
      <w:i/>
      <w:iCs/>
      <w:color w:val="404040" w:themeColor="text1" w:themeTint="BF"/>
    </w:rPr>
  </w:style>
  <w:style w:type="paragraph" w:styleId="ListParagraph">
    <w:name w:val="List Paragraph"/>
    <w:basedOn w:val="Normal"/>
    <w:uiPriority w:val="34"/>
    <w:qFormat/>
    <w:rsid w:val="00FA17E4"/>
    <w:pPr>
      <w:ind w:left="720"/>
      <w:contextualSpacing/>
    </w:pPr>
  </w:style>
  <w:style w:type="character" w:styleId="IntenseEmphasis">
    <w:name w:val="Intense Emphasis"/>
    <w:basedOn w:val="DefaultParagraphFont"/>
    <w:uiPriority w:val="21"/>
    <w:qFormat/>
    <w:rsid w:val="00FA17E4"/>
    <w:rPr>
      <w:i/>
      <w:iCs/>
      <w:color w:val="0F4761" w:themeColor="accent1" w:themeShade="BF"/>
    </w:rPr>
  </w:style>
  <w:style w:type="paragraph" w:styleId="IntenseQuote">
    <w:name w:val="Intense Quote"/>
    <w:basedOn w:val="Normal"/>
    <w:next w:val="Normal"/>
    <w:link w:val="IntenseQuoteChar"/>
    <w:uiPriority w:val="30"/>
    <w:qFormat/>
    <w:rsid w:val="00FA17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17E4"/>
    <w:rPr>
      <w:i/>
      <w:iCs/>
      <w:color w:val="0F4761" w:themeColor="accent1" w:themeShade="BF"/>
    </w:rPr>
  </w:style>
  <w:style w:type="character" w:styleId="IntenseReference">
    <w:name w:val="Intense Reference"/>
    <w:basedOn w:val="DefaultParagraphFont"/>
    <w:uiPriority w:val="32"/>
    <w:qFormat/>
    <w:rsid w:val="00FA17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665220">
      <w:bodyDiv w:val="1"/>
      <w:marLeft w:val="0"/>
      <w:marRight w:val="0"/>
      <w:marTop w:val="0"/>
      <w:marBottom w:val="0"/>
      <w:divBdr>
        <w:top w:val="none" w:sz="0" w:space="0" w:color="auto"/>
        <w:left w:val="none" w:sz="0" w:space="0" w:color="auto"/>
        <w:bottom w:val="none" w:sz="0" w:space="0" w:color="auto"/>
        <w:right w:val="none" w:sz="0" w:space="0" w:color="auto"/>
      </w:divBdr>
    </w:div>
    <w:div w:id="681779538">
      <w:bodyDiv w:val="1"/>
      <w:marLeft w:val="0"/>
      <w:marRight w:val="0"/>
      <w:marTop w:val="0"/>
      <w:marBottom w:val="0"/>
      <w:divBdr>
        <w:top w:val="none" w:sz="0" w:space="0" w:color="auto"/>
        <w:left w:val="none" w:sz="0" w:space="0" w:color="auto"/>
        <w:bottom w:val="none" w:sz="0" w:space="0" w:color="auto"/>
        <w:right w:val="none" w:sz="0" w:space="0" w:color="auto"/>
      </w:divBdr>
    </w:div>
    <w:div w:id="1002128864">
      <w:bodyDiv w:val="1"/>
      <w:marLeft w:val="0"/>
      <w:marRight w:val="0"/>
      <w:marTop w:val="0"/>
      <w:marBottom w:val="0"/>
      <w:divBdr>
        <w:top w:val="none" w:sz="0" w:space="0" w:color="auto"/>
        <w:left w:val="none" w:sz="0" w:space="0" w:color="auto"/>
        <w:bottom w:val="none" w:sz="0" w:space="0" w:color="auto"/>
        <w:right w:val="none" w:sz="0" w:space="0" w:color="auto"/>
      </w:divBdr>
    </w:div>
    <w:div w:id="1036540457">
      <w:bodyDiv w:val="1"/>
      <w:marLeft w:val="0"/>
      <w:marRight w:val="0"/>
      <w:marTop w:val="0"/>
      <w:marBottom w:val="0"/>
      <w:divBdr>
        <w:top w:val="none" w:sz="0" w:space="0" w:color="auto"/>
        <w:left w:val="none" w:sz="0" w:space="0" w:color="auto"/>
        <w:bottom w:val="none" w:sz="0" w:space="0" w:color="auto"/>
        <w:right w:val="none" w:sz="0" w:space="0" w:color="auto"/>
      </w:divBdr>
    </w:div>
    <w:div w:id="1332903346">
      <w:bodyDiv w:val="1"/>
      <w:marLeft w:val="0"/>
      <w:marRight w:val="0"/>
      <w:marTop w:val="0"/>
      <w:marBottom w:val="0"/>
      <w:divBdr>
        <w:top w:val="none" w:sz="0" w:space="0" w:color="auto"/>
        <w:left w:val="none" w:sz="0" w:space="0" w:color="auto"/>
        <w:bottom w:val="none" w:sz="0" w:space="0" w:color="auto"/>
        <w:right w:val="none" w:sz="0" w:space="0" w:color="auto"/>
      </w:divBdr>
    </w:div>
    <w:div w:id="1353147042">
      <w:bodyDiv w:val="1"/>
      <w:marLeft w:val="0"/>
      <w:marRight w:val="0"/>
      <w:marTop w:val="0"/>
      <w:marBottom w:val="0"/>
      <w:divBdr>
        <w:top w:val="none" w:sz="0" w:space="0" w:color="auto"/>
        <w:left w:val="none" w:sz="0" w:space="0" w:color="auto"/>
        <w:bottom w:val="none" w:sz="0" w:space="0" w:color="auto"/>
        <w:right w:val="none" w:sz="0" w:space="0" w:color="auto"/>
      </w:divBdr>
    </w:div>
    <w:div w:id="1545830339">
      <w:bodyDiv w:val="1"/>
      <w:marLeft w:val="0"/>
      <w:marRight w:val="0"/>
      <w:marTop w:val="0"/>
      <w:marBottom w:val="0"/>
      <w:divBdr>
        <w:top w:val="none" w:sz="0" w:space="0" w:color="auto"/>
        <w:left w:val="none" w:sz="0" w:space="0" w:color="auto"/>
        <w:bottom w:val="none" w:sz="0" w:space="0" w:color="auto"/>
        <w:right w:val="none" w:sz="0" w:space="0" w:color="auto"/>
      </w:divBdr>
    </w:div>
    <w:div w:id="1710950978">
      <w:bodyDiv w:val="1"/>
      <w:marLeft w:val="0"/>
      <w:marRight w:val="0"/>
      <w:marTop w:val="0"/>
      <w:marBottom w:val="0"/>
      <w:divBdr>
        <w:top w:val="none" w:sz="0" w:space="0" w:color="auto"/>
        <w:left w:val="none" w:sz="0" w:space="0" w:color="auto"/>
        <w:bottom w:val="none" w:sz="0" w:space="0" w:color="auto"/>
        <w:right w:val="none" w:sz="0" w:space="0" w:color="auto"/>
      </w:divBdr>
    </w:div>
    <w:div w:id="1845508480">
      <w:bodyDiv w:val="1"/>
      <w:marLeft w:val="0"/>
      <w:marRight w:val="0"/>
      <w:marTop w:val="0"/>
      <w:marBottom w:val="0"/>
      <w:divBdr>
        <w:top w:val="none" w:sz="0" w:space="0" w:color="auto"/>
        <w:left w:val="none" w:sz="0" w:space="0" w:color="auto"/>
        <w:bottom w:val="none" w:sz="0" w:space="0" w:color="auto"/>
        <w:right w:val="none" w:sz="0" w:space="0" w:color="auto"/>
      </w:divBdr>
    </w:div>
    <w:div w:id="1945964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552</Words>
  <Characters>3396</Characters>
  <Application>Microsoft Office Word</Application>
  <DocSecurity>0</DocSecurity>
  <Lines>58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 LaFarge</dc:creator>
  <cp:keywords/>
  <dc:description/>
  <cp:lastModifiedBy>Serge LaFarge</cp:lastModifiedBy>
  <cp:revision>10</cp:revision>
  <dcterms:created xsi:type="dcterms:W3CDTF">2025-06-01T18:35:00Z</dcterms:created>
  <dcterms:modified xsi:type="dcterms:W3CDTF">2025-06-01T19:23:00Z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5d209ff9-8f41-407d-9a95-6a83ef571ecc</vt:lpwstr>
  </property>
</Properties>
</file>