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</w:pPr>
      <w:r>
        <w:t>Попутчик  Карта MVP и ресурсов</w:t>
      </w:r>
    </w:p>
    <w:p>
      <w:pPr>
        <w:spacing w:after="200"/>
      </w:pPr>
      <w:r>
        <w:t>MVP проверяет спрос и экономику объединённой доставки. За 6 недель — MVP и первые тестовые заказы; решение о расширении — по итогам М2. Бюджет 500 тыс. ₽ рассчитан на 6 месяцев с начала разработки.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6463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/>
                <w:sz w:val="19"/>
              </w:rPr>
              <w:t>Ресурс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/>
                <w:sz w:val="19"/>
              </w:rPr>
              <w:t>Наличие или цель</w:t>
            </w:r>
          </w:p>
        </w:tc>
        <w:tc>
          <w:tcPr>
            <w:tcW w:type="dxa" w:w="646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/>
                <w:sz w:val="19"/>
              </w:rPr>
              <w:t>Использование и условие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Разработка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Своими силами</w:t>
            </w:r>
          </w:p>
        </w:tc>
        <w:tc>
          <w:tcPr>
            <w:tcW w:type="dxa" w:w="646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Telegram-боты клиента, магазина и курьера, простая админка. В MVP: продукты, кафе и бытовые товары. Лекарства исключены. Наличие, состав, замены, цена и слот согласуются до оплаты; автоматических замен нет.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ИИ и алгоритмы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Готовые сервисы</w:t>
            </w:r>
          </w:p>
        </w:tc>
        <w:tc>
          <w:tcPr>
            <w:tcW w:type="dxa" w:w="646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LLM разбирает текстовые и голосовые заказы, нормализует каталог; история помогает повторять покупки. Распознавание речи — готовый API. Маршруты рассчитывает OR-Tools: это алгоритмическая оптимизация, а не генеративный ИИ.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Данные и каталог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Нужно собрать</w:t>
            </w:r>
          </w:p>
        </w:tc>
        <w:tc>
          <w:tcPr>
            <w:tcW w:type="dxa" w:w="646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Прайс — файл или таблица. Фото распознаётся в черновик, который проверяет магазин. 15 минут — целевое время типового импорта, не гарантия. История заказов появляется в пилоте; геоданные — OpenStreetMap.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Магазины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10 в пилоте</w:t>
            </w:r>
          </w:p>
        </w:tc>
        <w:tc>
          <w:tcPr>
            <w:tcW w:type="dxa" w:w="646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Карта 50 магазинов — список контактов, не договорённости. До разработки: 20 интервью; минимум 8 магазинов прислали прайс и письменно приняли условия. Это гипотеза порога запуска. Комиссия — 10% с заказа.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Курьеры и зона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2 в пилоте</w:t>
            </w:r>
          </w:p>
        </w:tc>
        <w:tc>
          <w:tcPr>
            <w:tcW w:type="dxa" w:w="646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Один город, одна компактная зона, согласованные слоты. База модели: рейс 300 ₽ / 3 заказа = 100 ₽ на заказ. После пилота курьеров добавляют по нагрузке; число 2 не ограничивает дальнейший рост.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Сроки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6 недель на MVP</w:t>
            </w:r>
          </w:p>
        </w:tc>
        <w:tc>
          <w:tcPr>
            <w:tcW w:type="dxa" w:w="646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М1, недели 1–4: разработка, каталоги, согласование заказа, оплата и маршруты. М2, недели 5–8: пилот на 10 магазинах и 2 курьерах. Продажи в модели — с М2 с коэффициентом 0,5 месяца. Массовый маркетинг — с М3 после успешного пилота.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Проверка пилота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Условия роста</w:t>
            </w:r>
          </w:p>
        </w:tc>
        <w:tc>
          <w:tcPr>
            <w:tcW w:type="dxa" w:w="646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Цель: ≥3 завершённых заказа на рейс и ≤100 ₽ курьерских затрат на заказ. Если не достигли — массовый маркетинг не запускать; менять зону и слоты. Retention-7 &gt;25%: повторный завершённый оплаченный заказ в дни 1–7 после первого, только созревшие когорты; платную и промо доставку считать отдельно.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Бюджет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500 000 ₽</w:t>
            </w:r>
          </w:p>
        </w:tc>
        <w:tc>
          <w:tcPr>
            <w:tcW w:type="dxa" w:w="646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На 6 месяцев с начала разработки: 150 тыс. разработка, 200 тыс. маркетинг, 60 тыс. поддержка курьеров на пилоте, 30 тыс. сервер, 60 тыс. резерв. Поддержка — дополнительные выплаты сверх оплаты заказов. Зарплата команды 0 — допущение.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Продвижение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После проверки</w:t>
            </w:r>
          </w:p>
        </w:tc>
        <w:tc>
          <w:tcPr>
            <w:tcW w:type="dxa" w:w="646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QR в магазинах, местные сообщества, рекомендации. Доставка обычно 99 ₽. Бесплатная доставка — адресная акция; общий лимит 15% завершённых заказов. В М2 — 10 тыс. ₽ на контролируемое привлечение в пилот; массовое продвижение — после успешного пилота.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Платежи и запуск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Требует подготовки</w:t>
            </w:r>
          </w:p>
        </w:tc>
        <w:tc>
          <w:tcPr>
            <w:tcW w:type="dxa" w:w="646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Провайдер должен поддерживать работу с несколькими продавцами. До реального запуска согласовать договорную и расчётную схему, возвраты и обработку персональных данных. Готовность юридической схемы не предполагается автоматически.</w:t>
            </w:r>
          </w:p>
        </w:tc>
      </w:tr>
    </w:tbl>
    <w:sectPr>
      <w:pgSz w:h="16834" w:w="11909" w:orient="portrait"/>
      <w:pgMar w:bottom="964" w:top="964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rPr>
      <w:rFonts w:ascii="Times New Roman" w:hAnsi="Times New Roman" w:cs="Times New Roman" w:eastAsia="Times New Roman"/>
    </w:rPr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20"/>
    </w:pPr>
    <w:rPr>
      <w:rFonts w:ascii="Arial" w:hAnsi="Arial" w:cs="Times New Roman" w:eastAsia="Times New Roman"/>
      <w:color w:val="000000"/>
      <w:sz w:val="20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rFonts w:ascii="Arial" w:hAnsi="Arial" w:cs="Times New Roman" w:eastAsia="Times New Roman"/>
      <w:color w:val="000000"/>
      <w:sz w:val="36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rFonts w:ascii="Times New Roman" w:hAnsi="Times New Roman" w:cs="Times New Roman" w:eastAsia="Times New Roman"/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rFonts w:ascii="Times New Roman" w:hAnsi="Times New Roman" w:cs="Times New Roman" w:eastAsia="Times New Roman"/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rFonts w:ascii="Times New Roman" w:hAnsi="Times New Roman" w:cs="Times New Roman" w:eastAsia="Times New Roman"/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rFonts w:ascii="Times New Roman" w:hAnsi="Times New Roman" w:cs="Times New Roman" w:eastAsia="Times New Roman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rFonts w:ascii="Times New Roman" w:hAnsi="Times New Roman" w:cs="Times New Roman" w:eastAsia="Times New Roman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0" w:lineRule="auto"/>
    </w:pPr>
    <w:rPr>
      <w:rFonts w:ascii="Arial" w:hAnsi="Arial" w:cs="Times New Roman" w:eastAsia="Times New Roman"/>
      <w:color w:val="000000"/>
      <w:sz w:val="36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Times New Roman" w:cs="Times New Roman" w:eastAsia="Times New Roman" w:hAnsi="Times New Roman"/>
      <w:i w:val="0"/>
      <w:iCs w:val="0"/>
      <w:color w:val="666666"/>
      <w:sz w:val="30"/>
      <w:szCs w:val="30"/>
    </w:rPr>
  </w:style>
  <w:style w:type="table" w:styleId="Table1">
    <w:basedOn w:val="TableNormal"/>
    <w:rPr>
      <w:rFonts w:ascii="Times New Roman" w:hAnsi="Times New Roman" w:cs="Times New Roman" w:eastAsia="Times New Roman"/>
    </w:rPr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