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>
      <w:pPr>
        <w:pStyle w:val="Title"/>
      </w:pPr>
      <w:r>
        <w:t>Попутчик  Unit экономика</w:t>
      </w:r>
    </w:p>
    <w:p>
      <w:pPr>
        <w:spacing w:after="200"/>
      </w:pPr>
      <w:r>
        <w:t>Базовая гипотеза даёт 69,05 ₽ маржи с заказа и результат −30,14 тыс. ₽ за первые 6 месяцев. Накопленный результат выходит в ноль в М7 при выполнении допущений спроса, удержания и плотности рейсов.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71"/>
        <w:gridCol w:w="1757"/>
        <w:gridCol w:w="6236"/>
      </w:tblGrid>
      <w:tr>
        <w:trPr>
          <w:cantSplit/>
          <w:tblHeader/>
        </w:trPr>
        <w:tc>
          <w:tcPr>
            <w:tcW w:type="dxa" w:w="187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  <w:shd w:fill="E8EEF3"/>
          </w:tcPr>
          <w:p>
            <w:pPr>
              <w:spacing w:after="20" w:before="20" w:line="247" w:lineRule="auto"/>
            </w:pPr>
            <w:r>
              <w:rPr>
                <w:rFonts w:ascii="Arial" w:hAnsi="Arial"/>
                <w:b/>
                <w:sz w:val="18"/>
              </w:rPr>
              <w:t>Статья или показатель</w:t>
            </w:r>
          </w:p>
        </w:tc>
        <w:tc>
          <w:tcPr>
            <w:tcW w:type="dxa" w:w="175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  <w:shd w:fill="E8EEF3"/>
          </w:tcPr>
          <w:p>
            <w:pPr>
              <w:spacing w:after="20" w:before="20" w:line="247" w:lineRule="auto"/>
            </w:pPr>
            <w:r>
              <w:rPr>
                <w:rFonts w:ascii="Arial" w:hAnsi="Arial"/>
                <w:b/>
                <w:sz w:val="18"/>
              </w:rPr>
              <w:t>Сумма или цель</w:t>
            </w:r>
          </w:p>
        </w:tc>
        <w:tc>
          <w:tcPr>
            <w:tcW w:type="dxa" w:w="62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  <w:shd w:fill="E8EEF3"/>
          </w:tcPr>
          <w:p>
            <w:pPr>
              <w:spacing w:after="20" w:before="20" w:line="247" w:lineRule="auto"/>
            </w:pPr>
            <w:r>
              <w:rPr>
                <w:rFonts w:ascii="Arial" w:hAnsi="Arial"/>
                <w:b/>
                <w:sz w:val="18"/>
              </w:rPr>
              <w:t>Расчёт и допущение</w:t>
            </w:r>
          </w:p>
        </w:tc>
      </w:tr>
      <w:tr>
        <w:trPr>
          <w:cantSplit/>
        </w:trPr>
        <w:tc>
          <w:tcPr>
            <w:tcW w:type="dxa" w:w="187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20" w:before="20" w:line="247" w:lineRule="auto"/>
            </w:pPr>
            <w:r>
              <w:rPr>
                <w:rFonts w:ascii="Arial" w:hAnsi="Arial"/>
                <w:b w:val="0"/>
                <w:sz w:val="18"/>
              </w:rPr>
              <w:t>Горизонт</w:t>
            </w:r>
          </w:p>
        </w:tc>
        <w:tc>
          <w:tcPr>
            <w:tcW w:type="dxa" w:w="175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20" w:before="20" w:line="247" w:lineRule="auto"/>
            </w:pPr>
            <w:r>
              <w:rPr>
                <w:rFonts w:ascii="Arial" w:hAnsi="Arial"/>
                <w:b w:val="0"/>
                <w:sz w:val="18"/>
              </w:rPr>
              <w:t>М1–М6</w:t>
            </w:r>
          </w:p>
        </w:tc>
        <w:tc>
          <w:tcPr>
            <w:tcW w:type="dxa" w:w="62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20" w:before="20" w:line="247" w:lineRule="auto"/>
            </w:pPr>
            <w:r>
              <w:rPr>
                <w:rFonts w:ascii="Arial" w:hAnsi="Arial"/>
                <w:b w:val="0"/>
                <w:sz w:val="18"/>
              </w:rPr>
              <w:t>6 месяцев с начала разработки. М1 — разработка; М2 — пилот и продажи с коэффициентом 0,5 месяца. Массовое продвижение — с М3 после успешного пилота.</w:t>
            </w:r>
          </w:p>
        </w:tc>
      </w:tr>
      <w:tr>
        <w:trPr>
          <w:cantSplit/>
        </w:trPr>
        <w:tc>
          <w:tcPr>
            <w:tcW w:type="dxa" w:w="187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20" w:before="20" w:line="247" w:lineRule="auto"/>
            </w:pPr>
            <w:r>
              <w:rPr>
                <w:rFonts w:ascii="Arial" w:hAnsi="Arial"/>
                <w:b w:val="0"/>
                <w:sz w:val="18"/>
              </w:rPr>
              <w:t>Разработка</w:t>
            </w:r>
          </w:p>
        </w:tc>
        <w:tc>
          <w:tcPr>
            <w:tcW w:type="dxa" w:w="175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20" w:before="20" w:line="247" w:lineRule="auto"/>
            </w:pPr>
            <w:r>
              <w:rPr>
                <w:rFonts w:ascii="Arial" w:hAnsi="Arial"/>
                <w:b w:val="0"/>
                <w:sz w:val="18"/>
              </w:rPr>
              <w:t>150 000 ₽</w:t>
            </w:r>
          </w:p>
        </w:tc>
        <w:tc>
          <w:tcPr>
            <w:tcW w:type="dxa" w:w="62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20" w:before="20" w:line="247" w:lineRule="auto"/>
            </w:pPr>
            <w:r>
              <w:rPr>
                <w:rFonts w:ascii="Arial" w:hAnsi="Arial"/>
                <w:b w:val="0"/>
                <w:sz w:val="18"/>
              </w:rPr>
              <w:t>Telegram-боты, согласование заказов, каталог, платежи и маршруты.</w:t>
            </w:r>
          </w:p>
        </w:tc>
      </w:tr>
      <w:tr>
        <w:trPr>
          <w:cantSplit/>
        </w:trPr>
        <w:tc>
          <w:tcPr>
            <w:tcW w:type="dxa" w:w="187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20" w:before="20" w:line="247" w:lineRule="auto"/>
            </w:pPr>
            <w:r>
              <w:rPr>
                <w:rFonts w:ascii="Arial" w:hAnsi="Arial"/>
                <w:b w:val="0"/>
                <w:sz w:val="18"/>
              </w:rPr>
              <w:t>Маркетинг</w:t>
            </w:r>
          </w:p>
        </w:tc>
        <w:tc>
          <w:tcPr>
            <w:tcW w:type="dxa" w:w="175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20" w:before="20" w:line="247" w:lineRule="auto"/>
            </w:pPr>
            <w:r>
              <w:rPr>
                <w:rFonts w:ascii="Arial" w:hAnsi="Arial"/>
                <w:b w:val="0"/>
                <w:sz w:val="18"/>
              </w:rPr>
              <w:t>200 000 ₽</w:t>
            </w:r>
          </w:p>
        </w:tc>
        <w:tc>
          <w:tcPr>
            <w:tcW w:type="dxa" w:w="62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20" w:before="20" w:line="247" w:lineRule="auto"/>
            </w:pPr>
            <w:r>
              <w:rPr>
                <w:rFonts w:ascii="Arial" w:hAnsi="Arial"/>
                <w:b w:val="0"/>
                <w:sz w:val="18"/>
              </w:rPr>
              <w:t>М1–М6: 0 / 10 / 35 / 45 / 55 / 55 тыс. ₽. В М2 — контролируемое привлечение в пилот; массовое — после проверки.</w:t>
            </w:r>
          </w:p>
        </w:tc>
      </w:tr>
      <w:tr>
        <w:trPr>
          <w:cantSplit/>
        </w:trPr>
        <w:tc>
          <w:tcPr>
            <w:tcW w:type="dxa" w:w="187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20" w:before="20" w:line="247" w:lineRule="auto"/>
            </w:pPr>
            <w:r>
              <w:rPr>
                <w:rFonts w:ascii="Arial" w:hAnsi="Arial"/>
                <w:b w:val="0"/>
                <w:sz w:val="18"/>
              </w:rPr>
              <w:t>Поддержка курьеров</w:t>
            </w:r>
          </w:p>
        </w:tc>
        <w:tc>
          <w:tcPr>
            <w:tcW w:type="dxa" w:w="175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20" w:before="20" w:line="247" w:lineRule="auto"/>
            </w:pPr>
            <w:r>
              <w:rPr>
                <w:rFonts w:ascii="Arial" w:hAnsi="Arial"/>
                <w:b w:val="0"/>
                <w:sz w:val="18"/>
              </w:rPr>
              <w:t>60 000 ₽</w:t>
            </w:r>
          </w:p>
        </w:tc>
        <w:tc>
          <w:tcPr>
            <w:tcW w:type="dxa" w:w="62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20" w:before="20" w:line="247" w:lineRule="auto"/>
            </w:pPr>
            <w:r>
              <w:rPr>
                <w:rFonts w:ascii="Arial" w:hAnsi="Arial"/>
                <w:b w:val="0"/>
                <w:sz w:val="18"/>
              </w:rPr>
              <w:t>Дополнительные выплаты на пилоте сверх переменной оплаты заказов.</w:t>
            </w:r>
          </w:p>
        </w:tc>
      </w:tr>
      <w:tr>
        <w:trPr>
          <w:cantSplit/>
        </w:trPr>
        <w:tc>
          <w:tcPr>
            <w:tcW w:type="dxa" w:w="187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20" w:before="20" w:line="247" w:lineRule="auto"/>
            </w:pPr>
            <w:r>
              <w:rPr>
                <w:rFonts w:ascii="Arial" w:hAnsi="Arial"/>
                <w:b w:val="0"/>
                <w:sz w:val="18"/>
              </w:rPr>
              <w:t>Сервер</w:t>
            </w:r>
          </w:p>
        </w:tc>
        <w:tc>
          <w:tcPr>
            <w:tcW w:type="dxa" w:w="175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20" w:before="20" w:line="247" w:lineRule="auto"/>
            </w:pPr>
            <w:r>
              <w:rPr>
                <w:rFonts w:ascii="Arial" w:hAnsi="Arial"/>
                <w:b w:val="0"/>
                <w:sz w:val="18"/>
              </w:rPr>
              <w:t>30 000 ₽</w:t>
            </w:r>
          </w:p>
        </w:tc>
        <w:tc>
          <w:tcPr>
            <w:tcW w:type="dxa" w:w="62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20" w:before="20" w:line="247" w:lineRule="auto"/>
            </w:pPr>
            <w:r>
              <w:rPr>
                <w:rFonts w:ascii="Arial" w:hAnsi="Arial"/>
                <w:b w:val="0"/>
                <w:sz w:val="18"/>
              </w:rPr>
              <w:t>5 000 ₽ в месяц. Переменный ИИ — отдельно, 3 ₽ на заказ.</w:t>
            </w:r>
          </w:p>
        </w:tc>
      </w:tr>
      <w:tr>
        <w:trPr>
          <w:cantSplit/>
        </w:trPr>
        <w:tc>
          <w:tcPr>
            <w:tcW w:type="dxa" w:w="187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20" w:before="20" w:line="247" w:lineRule="auto"/>
            </w:pPr>
            <w:r>
              <w:rPr>
                <w:rFonts w:ascii="Arial" w:hAnsi="Arial"/>
                <w:b w:val="0"/>
                <w:sz w:val="18"/>
              </w:rPr>
              <w:t>Резерв</w:t>
            </w:r>
          </w:p>
        </w:tc>
        <w:tc>
          <w:tcPr>
            <w:tcW w:type="dxa" w:w="175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20" w:before="20" w:line="247" w:lineRule="auto"/>
            </w:pPr>
            <w:r>
              <w:rPr>
                <w:rFonts w:ascii="Arial" w:hAnsi="Arial"/>
                <w:b w:val="0"/>
                <w:sz w:val="18"/>
              </w:rPr>
              <w:t>60 000 ₽</w:t>
            </w:r>
          </w:p>
        </w:tc>
        <w:tc>
          <w:tcPr>
            <w:tcW w:type="dxa" w:w="62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20" w:before="20" w:line="247" w:lineRule="auto"/>
            </w:pPr>
            <w:r>
              <w:rPr>
                <w:rFonts w:ascii="Arial" w:hAnsi="Arial"/>
                <w:b w:val="0"/>
                <w:sz w:val="18"/>
              </w:rPr>
              <w:t>Не считается расходом до использования. Всего бюджет 500 000 ₽; план расходов без резерва — 440 000 ₽.</w:t>
            </w:r>
          </w:p>
        </w:tc>
      </w:tr>
      <w:tr>
        <w:trPr>
          <w:cantSplit/>
        </w:trPr>
        <w:tc>
          <w:tcPr>
            <w:tcW w:type="dxa" w:w="187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20" w:before="20" w:line="247" w:lineRule="auto"/>
            </w:pPr>
            <w:r>
              <w:rPr>
                <w:rFonts w:ascii="Arial" w:hAnsi="Arial"/>
                <w:b w:val="0"/>
                <w:sz w:val="18"/>
              </w:rPr>
              <w:t>Чек и комиссия</w:t>
            </w:r>
          </w:p>
        </w:tc>
        <w:tc>
          <w:tcPr>
            <w:tcW w:type="dxa" w:w="175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20" w:before="20" w:line="247" w:lineRule="auto"/>
            </w:pPr>
            <w:r>
              <w:rPr>
                <w:rFonts w:ascii="Arial" w:hAnsi="Arial"/>
                <w:b w:val="0"/>
                <w:sz w:val="18"/>
              </w:rPr>
              <w:t>1 200 ₽ / 10%</w:t>
            </w:r>
          </w:p>
        </w:tc>
        <w:tc>
          <w:tcPr>
            <w:tcW w:type="dxa" w:w="62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20" w:before="20" w:line="247" w:lineRule="auto"/>
            </w:pPr>
            <w:r>
              <w:rPr>
                <w:rFonts w:ascii="Arial" w:hAnsi="Arial"/>
                <w:b w:val="0"/>
                <w:sz w:val="18"/>
              </w:rPr>
              <w:t>Комиссия сервиса — 120 ₽ на заказ. Стоимость товаров не является выручкой сервиса.</w:t>
            </w:r>
          </w:p>
        </w:tc>
      </w:tr>
      <w:tr>
        <w:trPr>
          <w:cantSplit/>
        </w:trPr>
        <w:tc>
          <w:tcPr>
            <w:tcW w:type="dxa" w:w="187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20" w:before="20" w:line="247" w:lineRule="auto"/>
            </w:pPr>
            <w:r>
              <w:rPr>
                <w:rFonts w:ascii="Arial" w:hAnsi="Arial"/>
                <w:b w:val="0"/>
                <w:sz w:val="18"/>
              </w:rPr>
              <w:t>Доставка и промо</w:t>
            </w:r>
          </w:p>
        </w:tc>
        <w:tc>
          <w:tcPr>
            <w:tcW w:type="dxa" w:w="175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20" w:before="20" w:line="247" w:lineRule="auto"/>
            </w:pPr>
            <w:r>
              <w:rPr>
                <w:rFonts w:ascii="Arial" w:hAnsi="Arial"/>
                <w:b w:val="0"/>
                <w:sz w:val="18"/>
              </w:rPr>
              <w:t>99 ₽ / ≤15%</w:t>
            </w:r>
          </w:p>
        </w:tc>
        <w:tc>
          <w:tcPr>
            <w:tcW w:type="dxa" w:w="62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20" w:before="20" w:line="247" w:lineRule="auto"/>
            </w:pPr>
            <w:r>
              <w:rPr>
                <w:rFonts w:ascii="Arial" w:hAnsi="Arial"/>
                <w:b w:val="0"/>
                <w:sz w:val="18"/>
              </w:rPr>
              <w:t>Адресная бесплатная доставка максимум для 15% завершённых заказов. Средняя плата за доставку в базе: 99 × 85% = 84,15 ₽.</w:t>
            </w:r>
          </w:p>
        </w:tc>
      </w:tr>
      <w:tr>
        <w:trPr>
          <w:cantSplit/>
        </w:trPr>
        <w:tc>
          <w:tcPr>
            <w:tcW w:type="dxa" w:w="187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20" w:before="20" w:line="247" w:lineRule="auto"/>
            </w:pPr>
            <w:r>
              <w:rPr>
                <w:rFonts w:ascii="Arial" w:hAnsi="Arial"/>
                <w:b w:val="0"/>
                <w:sz w:val="18"/>
              </w:rPr>
              <w:t>Выручка на заказ</w:t>
            </w:r>
          </w:p>
        </w:tc>
        <w:tc>
          <w:tcPr>
            <w:tcW w:type="dxa" w:w="175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20" w:before="20" w:line="247" w:lineRule="auto"/>
            </w:pPr>
            <w:r>
              <w:rPr>
                <w:rFonts w:ascii="Arial" w:hAnsi="Arial"/>
                <w:b w:val="0"/>
                <w:sz w:val="18"/>
              </w:rPr>
              <w:t>204,15 ₽</w:t>
            </w:r>
          </w:p>
        </w:tc>
        <w:tc>
          <w:tcPr>
            <w:tcW w:type="dxa" w:w="62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20" w:before="20" w:line="247" w:lineRule="auto"/>
            </w:pPr>
            <w:r>
              <w:rPr>
                <w:rFonts w:ascii="Arial" w:hAnsi="Arial"/>
                <w:b w:val="0"/>
                <w:sz w:val="18"/>
              </w:rPr>
              <w:t>120 ₽ комиссия + 84,15 ₽ доставка. Учитываются завершённые заказы.</w:t>
            </w:r>
          </w:p>
        </w:tc>
      </w:tr>
      <w:tr>
        <w:trPr>
          <w:cantSplit/>
        </w:trPr>
        <w:tc>
          <w:tcPr>
            <w:tcW w:type="dxa" w:w="187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20" w:before="20" w:line="247" w:lineRule="auto"/>
            </w:pPr>
            <w:r>
              <w:rPr>
                <w:rFonts w:ascii="Arial" w:hAnsi="Arial"/>
                <w:b w:val="0"/>
                <w:sz w:val="18"/>
              </w:rPr>
              <w:t>Переменные затраты</w:t>
            </w:r>
          </w:p>
        </w:tc>
        <w:tc>
          <w:tcPr>
            <w:tcW w:type="dxa" w:w="175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20" w:before="20" w:line="247" w:lineRule="auto"/>
            </w:pPr>
            <w:r>
              <w:rPr>
                <w:rFonts w:ascii="Arial" w:hAnsi="Arial"/>
                <w:b w:val="0"/>
                <w:sz w:val="18"/>
              </w:rPr>
              <w:t>135,10 ₽</w:t>
            </w:r>
          </w:p>
        </w:tc>
        <w:tc>
          <w:tcPr>
            <w:tcW w:type="dxa" w:w="62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20" w:before="20" w:line="247" w:lineRule="auto"/>
            </w:pPr>
            <w:r>
              <w:rPr>
                <w:rFonts w:ascii="Arial" w:hAnsi="Arial"/>
                <w:b w:val="0"/>
                <w:sz w:val="18"/>
              </w:rPr>
              <w:t>Курьер 100 ₽ = рейс 300 ₽ / 3 заказа; ИИ 3 ₽; эквайринг 32,10375 ₽ = (1 200 + 84,15) × 2,5%. Ставка 2,5% — гипотеза, не тариф провайдера.</w:t>
            </w:r>
          </w:p>
        </w:tc>
      </w:tr>
      <w:tr>
        <w:trPr>
          <w:cantSplit/>
        </w:trPr>
        <w:tc>
          <w:tcPr>
            <w:tcW w:type="dxa" w:w="187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20" w:before="20" w:line="247" w:lineRule="auto"/>
            </w:pPr>
            <w:r>
              <w:rPr>
                <w:rFonts w:ascii="Arial" w:hAnsi="Arial"/>
                <w:b w:val="0"/>
                <w:sz w:val="18"/>
              </w:rPr>
              <w:t>Маржа на заказ</w:t>
            </w:r>
          </w:p>
        </w:tc>
        <w:tc>
          <w:tcPr>
            <w:tcW w:type="dxa" w:w="175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20" w:before="20" w:line="247" w:lineRule="auto"/>
            </w:pPr>
            <w:r>
              <w:rPr>
                <w:rFonts w:ascii="Arial" w:hAnsi="Arial"/>
                <w:b w:val="0"/>
                <w:sz w:val="18"/>
              </w:rPr>
              <w:t>69,05 ₽</w:t>
            </w:r>
          </w:p>
        </w:tc>
        <w:tc>
          <w:tcPr>
            <w:tcW w:type="dxa" w:w="62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20" w:before="20" w:line="247" w:lineRule="auto"/>
            </w:pPr>
            <w:r>
              <w:rPr>
                <w:rFonts w:ascii="Arial" w:hAnsi="Arial"/>
                <w:b w:val="0"/>
                <w:sz w:val="18"/>
              </w:rPr>
              <w:t>204,15 − 135,10375. Вклад в покрытие постоянных затрат; до налогов и возвратов. Это не чистая прибыль.</w:t>
            </w:r>
          </w:p>
        </w:tc>
      </w:tr>
      <w:tr>
        <w:trPr>
          <w:cantSplit/>
        </w:trPr>
        <w:tc>
          <w:tcPr>
            <w:tcW w:type="dxa" w:w="187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20" w:before="20" w:line="247" w:lineRule="auto"/>
            </w:pPr>
            <w:r>
              <w:rPr>
                <w:rFonts w:ascii="Arial" w:hAnsi="Arial"/>
                <w:b w:val="0"/>
                <w:sz w:val="18"/>
              </w:rPr>
              <w:t>CAC и удержание</w:t>
            </w:r>
          </w:p>
        </w:tc>
        <w:tc>
          <w:tcPr>
            <w:tcW w:type="dxa" w:w="175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20" w:before="20" w:line="247" w:lineRule="auto"/>
            </w:pPr>
            <w:r>
              <w:rPr>
                <w:rFonts w:ascii="Arial" w:hAnsi="Arial"/>
                <w:b w:val="0"/>
                <w:sz w:val="18"/>
              </w:rPr>
              <w:t>200 ₽ / 75%</w:t>
            </w:r>
          </w:p>
        </w:tc>
        <w:tc>
          <w:tcPr>
            <w:tcW w:type="dxa" w:w="62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20" w:before="20" w:line="247" w:lineRule="auto"/>
            </w:pPr>
            <w:r>
              <w:rPr>
                <w:rFonts w:ascii="Arial" w:hAnsi="Arial"/>
                <w:b w:val="0"/>
                <w:sz w:val="18"/>
              </w:rPr>
              <w:t>CAC — гипотеза стоимости нового платящего клиента. Удержание 75% месяц к месяцу — отдельная непроверенная гипотеза; из Retention-7 оно не следует.</w:t>
            </w:r>
          </w:p>
        </w:tc>
      </w:tr>
      <w:tr>
        <w:trPr>
          <w:cantSplit/>
        </w:trPr>
        <w:tc>
          <w:tcPr>
            <w:tcW w:type="dxa" w:w="187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20" w:before="20" w:line="247" w:lineRule="auto"/>
            </w:pPr>
            <w:r>
              <w:rPr>
                <w:rFonts w:ascii="Arial" w:hAnsi="Arial"/>
                <w:b w:val="0"/>
                <w:sz w:val="18"/>
              </w:rPr>
              <w:t>LTV и LTV/CAC</w:t>
            </w:r>
          </w:p>
        </w:tc>
        <w:tc>
          <w:tcPr>
            <w:tcW w:type="dxa" w:w="175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20" w:before="20" w:line="247" w:lineRule="auto"/>
            </w:pPr>
            <w:r>
              <w:rPr>
                <w:rFonts w:ascii="Arial" w:hAnsi="Arial"/>
                <w:b w:val="0"/>
                <w:sz w:val="18"/>
              </w:rPr>
              <w:t>≈829 ₽ / 4,14</w:t>
            </w:r>
          </w:p>
        </w:tc>
        <w:tc>
          <w:tcPr>
            <w:tcW w:type="dxa" w:w="62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20" w:before="20" w:line="247" w:lineRule="auto"/>
            </w:pPr>
            <w:r>
              <w:rPr>
                <w:rFonts w:ascii="Arial" w:hAnsi="Arial"/>
                <w:b w:val="0"/>
                <w:sz w:val="18"/>
              </w:rPr>
              <w:t>69,04625 × 3 заказа/месяц × 1/(1 − 75%). Окупаемость CAC ≈0,97 активного месяца. Расчёт действует только при подтверждении частоты и удержания.</w:t>
            </w:r>
          </w:p>
        </w:tc>
      </w:tr>
      <w:tr>
        <w:trPr>
          <w:cantSplit/>
        </w:trPr>
        <w:tc>
          <w:tcPr>
            <w:tcW w:type="dxa" w:w="187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20" w:before="20" w:line="247" w:lineRule="auto"/>
            </w:pPr>
            <w:r>
              <w:rPr>
                <w:rFonts w:ascii="Arial" w:hAnsi="Arial"/>
                <w:b w:val="0"/>
                <w:sz w:val="18"/>
              </w:rPr>
              <w:t>Продажи за 6 месяцев</w:t>
            </w:r>
          </w:p>
        </w:tc>
        <w:tc>
          <w:tcPr>
            <w:tcW w:type="dxa" w:w="175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20" w:before="20" w:line="247" w:lineRule="auto"/>
            </w:pPr>
            <w:r>
              <w:rPr>
                <w:rFonts w:ascii="Arial" w:hAnsi="Arial"/>
                <w:b w:val="0"/>
                <w:sz w:val="18"/>
              </w:rPr>
              <w:t>≈5 936 заказов</w:t>
            </w:r>
          </w:p>
        </w:tc>
        <w:tc>
          <w:tcPr>
            <w:tcW w:type="dxa" w:w="62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20" w:before="20" w:line="247" w:lineRule="auto"/>
            </w:pPr>
            <w:r>
              <w:rPr>
                <w:rFonts w:ascii="Arial" w:hAnsi="Arial"/>
                <w:b w:val="0"/>
                <w:sz w:val="18"/>
              </w:rPr>
              <w:t>Выручка сервиса ≈1 211 843 ₽; маржа ≈409 861 ₽. Прогноз предполагает успешный пилот, а не подтверждает его.</w:t>
            </w:r>
          </w:p>
        </w:tc>
      </w:tr>
      <w:tr>
        <w:trPr>
          <w:cantSplit/>
        </w:trPr>
        <w:tc>
          <w:tcPr>
            <w:tcW w:type="dxa" w:w="187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20" w:before="20" w:line="247" w:lineRule="auto"/>
            </w:pPr>
            <w:r>
              <w:rPr>
                <w:rFonts w:ascii="Arial" w:hAnsi="Arial"/>
                <w:b w:val="0"/>
                <w:sz w:val="18"/>
              </w:rPr>
              <w:t>Результат за 6 месяцев</w:t>
            </w:r>
          </w:p>
        </w:tc>
        <w:tc>
          <w:tcPr>
            <w:tcW w:type="dxa" w:w="175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20" w:before="20" w:line="247" w:lineRule="auto"/>
            </w:pPr>
            <w:r>
              <w:rPr>
                <w:rFonts w:ascii="Arial" w:hAnsi="Arial"/>
                <w:b w:val="0"/>
                <w:sz w:val="18"/>
              </w:rPr>
              <w:t>−30 139 ₽</w:t>
            </w:r>
          </w:p>
        </w:tc>
        <w:tc>
          <w:tcPr>
            <w:tcW w:type="dxa" w:w="62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20" w:before="20" w:line="247" w:lineRule="auto"/>
            </w:pPr>
            <w:r>
              <w:rPr>
                <w:rFonts w:ascii="Arial" w:hAnsi="Arial"/>
                <w:b w:val="0"/>
                <w:sz w:val="18"/>
              </w:rPr>
              <w:t>409 861 ₽ маржи − 440 000 ₽ расходов. Зарплата команды принята равной 0; налоги и возвраты не учтены.</w:t>
            </w:r>
          </w:p>
        </w:tc>
      </w:tr>
      <w:tr>
        <w:trPr>
          <w:cantSplit/>
        </w:trPr>
        <w:tc>
          <w:tcPr>
            <w:tcW w:type="dxa" w:w="187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20" w:before="20" w:line="247" w:lineRule="auto"/>
            </w:pPr>
            <w:r>
              <w:rPr>
                <w:rFonts w:ascii="Arial" w:hAnsi="Arial"/>
                <w:b w:val="0"/>
                <w:sz w:val="18"/>
              </w:rPr>
              <w:t>Деньги и М6</w:t>
            </w:r>
          </w:p>
        </w:tc>
        <w:tc>
          <w:tcPr>
            <w:tcW w:type="dxa" w:w="175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20" w:before="20" w:line="247" w:lineRule="auto"/>
            </w:pPr>
            <w:r>
              <w:rPr>
                <w:rFonts w:ascii="Arial" w:hAnsi="Arial"/>
                <w:b w:val="0"/>
                <w:sz w:val="18"/>
              </w:rPr>
              <w:t>469 861 ₽</w:t>
            </w:r>
          </w:p>
        </w:tc>
        <w:tc>
          <w:tcPr>
            <w:tcW w:type="dxa" w:w="62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20" w:before="20" w:line="247" w:lineRule="auto"/>
            </w:pPr>
            <w:r>
              <w:rPr>
                <w:rFonts w:ascii="Arial" w:hAnsi="Arial"/>
                <w:b w:val="0"/>
                <w:sz w:val="18"/>
              </w:rPr>
              <w:t>Остаток из стартовых 500 000 ₽ на конец М6. Минимум ≈299 713 ₽ в М3. В М6: ≈749 активных клиентов, ≈2 247 заказов; по нагрузке нужны 4 курьера.</w:t>
            </w:r>
          </w:p>
        </w:tc>
      </w:tr>
      <w:tr>
        <w:trPr>
          <w:cantSplit/>
        </w:trPr>
        <w:tc>
          <w:tcPr>
            <w:tcW w:type="dxa" w:w="187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20" w:before="20" w:line="247" w:lineRule="auto"/>
            </w:pPr>
            <w:r>
              <w:rPr>
                <w:rFonts w:ascii="Arial" w:hAnsi="Arial"/>
                <w:b w:val="0"/>
                <w:sz w:val="18"/>
              </w:rPr>
              <w:t>Выход в плюс</w:t>
            </w:r>
          </w:p>
        </w:tc>
        <w:tc>
          <w:tcPr>
            <w:tcW w:type="dxa" w:w="175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20" w:before="20" w:line="247" w:lineRule="auto"/>
            </w:pPr>
            <w:r>
              <w:rPr>
                <w:rFonts w:ascii="Arial" w:hAnsi="Arial"/>
                <w:b w:val="0"/>
                <w:sz w:val="18"/>
              </w:rPr>
              <w:t>М4 / М7</w:t>
            </w:r>
          </w:p>
        </w:tc>
        <w:tc>
          <w:tcPr>
            <w:tcW w:type="dxa" w:w="62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20" w:before="20" w:line="247" w:lineRule="auto"/>
            </w:pPr>
            <w:r>
              <w:rPr>
                <w:rFonts w:ascii="Arial" w:hAnsi="Arial"/>
                <w:b w:val="0"/>
                <w:sz w:val="18"/>
              </w:rPr>
              <w:t>М4 — первый месяц с положительным результатом. М7 — накопленный результат достигает нуля и остаток восстанавливается до стартовых 500 тыс. ₽; это не заработанные 500 тыс. ₽.</w:t>
            </w:r>
          </w:p>
        </w:tc>
      </w:tr>
      <w:tr>
        <w:trPr>
          <w:cantSplit/>
        </w:trPr>
        <w:tc>
          <w:tcPr>
            <w:tcW w:type="dxa" w:w="187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20" w:before="20" w:line="247" w:lineRule="auto"/>
            </w:pPr>
            <w:r>
              <w:rPr>
                <w:rFonts w:ascii="Arial" w:hAnsi="Arial"/>
                <w:b w:val="0"/>
                <w:sz w:val="18"/>
              </w:rPr>
              <w:t>Условие масштабирования</w:t>
            </w:r>
          </w:p>
        </w:tc>
        <w:tc>
          <w:tcPr>
            <w:tcW w:type="dxa" w:w="175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20" w:before="20" w:line="247" w:lineRule="auto"/>
            </w:pPr>
            <w:r>
              <w:rPr>
                <w:rFonts w:ascii="Arial" w:hAnsi="Arial"/>
                <w:b w:val="0"/>
                <w:sz w:val="18"/>
              </w:rPr>
              <w:t>≥3 заказа/рейс</w:t>
            </w:r>
          </w:p>
        </w:tc>
        <w:tc>
          <w:tcPr>
            <w:tcW w:type="dxa" w:w="62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20" w:before="20" w:line="247" w:lineRule="auto"/>
            </w:pPr>
            <w:r>
              <w:rPr>
                <w:rFonts w:ascii="Arial" w:hAnsi="Arial"/>
                <w:b w:val="0"/>
                <w:sz w:val="18"/>
              </w:rPr>
              <w:t>Курьерские затраты ≤100 ₽ на заказ. Если пороги не достигнуты, массовый маркетинг не запускать, пересмотреть зону и слоты. Прогноз пересчитать по факту пилота.</w:t>
            </w:r>
          </w:p>
        </w:tc>
      </w:tr>
    </w:tbl>
    <w:sectPr>
      <w:pgSz w:h="16834" w:w="11909" w:orient="portrait"/>
      <w:pgMar w:bottom="964" w:top="964" w:left="1020" w:right="10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rPr>
      <w:rFonts w:ascii="Times New Roman" w:hAnsi="Times New Roman" w:cs="Times New Roman" w:eastAsia="Times New Roman"/>
    </w:rPr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  <w:pPr>
      <w:spacing w:after="120"/>
    </w:pPr>
    <w:rPr>
      <w:rFonts w:ascii="Arial" w:hAnsi="Arial" w:cs="Times New Roman" w:eastAsia="Times New Roman"/>
      <w:color w:val="000000"/>
      <w:sz w:val="20"/>
    </w:rPr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rFonts w:ascii="Arial" w:hAnsi="Arial" w:cs="Times New Roman" w:eastAsia="Times New Roman"/>
      <w:color w:val="000000"/>
      <w:sz w:val="36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rFonts w:ascii="Times New Roman" w:hAnsi="Times New Roman" w:cs="Times New Roman" w:eastAsia="Times New Roman"/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rFonts w:ascii="Times New Roman" w:hAnsi="Times New Roman" w:cs="Times New Roman" w:eastAsia="Times New Roman"/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rFonts w:ascii="Times New Roman" w:hAnsi="Times New Roman" w:cs="Times New Roman" w:eastAsia="Times New Roman"/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rFonts w:ascii="Times New Roman" w:hAnsi="Times New Roman" w:cs="Times New Roman" w:eastAsia="Times New Roman"/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rFonts w:ascii="Times New Roman" w:hAnsi="Times New Roman" w:cs="Times New Roman" w:eastAsia="Times New Roman"/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0" w:lineRule="auto"/>
    </w:pPr>
    <w:rPr>
      <w:rFonts w:ascii="Arial" w:hAnsi="Arial" w:cs="Times New Roman" w:eastAsia="Times New Roman"/>
      <w:color w:val="000000"/>
      <w:sz w:val="36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Times New Roman" w:cs="Times New Roman" w:eastAsia="Times New Roman" w:hAnsi="Times New Roman"/>
      <w:i w:val="0"/>
      <w:iCs w:val="0"/>
      <w:color w:val="666666"/>
      <w:sz w:val="30"/>
      <w:szCs w:val="30"/>
    </w:rPr>
  </w:style>
  <w:style w:type="table" w:styleId="Table1">
    <w:basedOn w:val="TableNormal"/>
    <w:rPr>
      <w:rFonts w:ascii="Times New Roman" w:hAnsi="Times New Roman" w:cs="Times New Roman" w:eastAsia="Times New Roman"/>
    </w:rPr>
    <w:tblPr>
      <w:tblStyleRowBandSize w:val="1"/>
      <w:tblStyleColBandSize w:val="1"/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