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Попутка  Unit экономика</w:t>
      </w:r>
    </w:p>
    <w:p>
      <w:pPr>
        <w:spacing w:after="200"/>
      </w:pPr>
      <w:r>
        <w:t>Базовая гипотеза даёт 69,05 ₽ маржи с заказа и результат −30,14 тыс. ₽ за первые 6 месяцев. Накопленный результат выходит в ноль в М7 при выполнении допущений спроса, удержания и плотности рейсов.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757"/>
        <w:gridCol w:w="6236"/>
      </w:tblGrid>
      <w:tr>
        <w:trPr>
          <w:cantSplit/>
          <w:tblHeader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  <w:shd w:fill="E8EEF3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sz w:val="18"/>
              </w:rPr>
              <w:t>Статья или показатель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  <w:shd w:fill="E8EEF3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sz w:val="18"/>
              </w:rPr>
              <w:t>Сумма или цель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  <w:shd w:fill="E8EEF3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sz w:val="18"/>
              </w:rPr>
              <w:t>Расчёт и допущение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Горизонт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М1–М6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 месяцев с начала разработки. М1 — разработка; М2 — пилот и продажи с коэффициентом 0,5 месяца. Массовое продвижение — с М3 после успешного пилота.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Разработка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150 000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Telegram-боты, согласование заказов, каталог, платежи и маршруты.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Маркетинг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200 000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М1–М6: 0 / 10 / 35 / 45 / 55 / 55 тыс. ₽. В М2 — контролируемое привлечение в пилот; массовое — после проверки.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Поддержка курьеров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Дополнительные выплаты на пилоте сверх переменной оплаты заказов.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Сервер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30 000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5 000 ₽ в месяц. Переменный ИИ — отдельно, 3 ₽ на заказ.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Резерв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Не считается расходом до использования. Всего бюджет 500 000 ₽; план расходов без резерва — 440 000 ₽.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Чек и комиссия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1 200 ₽ / 10%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Комиссия сервиса — 120 ₽ на заказ. Стоимость товаров не является выручкой сервиса.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Доставка и промо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99 ₽ / ≤15%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Адресная бесплатная доставка максимум для 15% завершённых заказов. Средняя плата за доставку в базе: 99 × 85% = 84,15 ₽.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Выручка на заказ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204,15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120 ₽ комиссия + 84,15 ₽ доставка. Учитываются завершённые заказы.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Переменные затраты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135,10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Курьер 100 ₽ = рейс 300 ₽ / 3 заказа; ИИ 3 ₽; эквайринг 32,10375 ₽ = (1 200 + 84,15) × 2,5%. Ставка 2,5% — гипотеза, не тариф провайдера.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Маржа на заказ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69,05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204,15 − 135,10375. Вклад в покрытие постоянных затрат; до налогов и возвратов. Это не чистая прибыль.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CAC и удержание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200 ₽ / 75%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CAC — гипотеза стоимости нового платящего клиента. Удержание 75% месяц к месяцу — отдельная непроверенная гипотеза; из Retention-7 оно не следует.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LTV и LTV/CAC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≈829 ₽ / 4,14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69,04625 × 3 заказа/месяц × 1/(1 − 75%). Окупаемость CAC ≈0,97 активного месяца. Расчёт действует только при подтверждении частоты и удержания.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Продажи за 6 месяцев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≈5 936 заказов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Выручка сервиса ≈1 211 843 ₽; маржа ≈409 861 ₽. Прогноз предполагает успешный пилот, а не подтверждает его.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Результат за 6 месяцев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−30 139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409 861 ₽ маржи − 440 000 ₽ расходов. Зарплата команды принята равной 0; налоги и возвраты не учтены.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Деньги и М6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469 861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Остаток из стартовых 500 000 ₽ на конец М6. Минимум ≈299 713 ₽ в М3. В М6: ≈749 активных клиентов, ≈2 247 заказов; по нагрузке нужны 4 курьера.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Выход в плюс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М4 / М7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М4 — первый месяц с положительным результатом. М7 — накопленный результат достигает нуля и остаток восстанавливается до стартовых 500 тыс. ₽; это не заработанные 500 тыс. ₽.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Условие масштабирования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≥3 заказа/рейс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Курьерские затраты ≤100 ₽ на заказ. Если пороги не достигнуты, массовый маркетинг не запускать, пересмотреть зону и слоты. Прогноз пересчитать по факту пилота.</w:t>
            </w:r>
          </w:p>
        </w:tc>
      </w:tr>
    </w:tbl>
    <w:sectPr>
      <w:pgSz w:h="16834" w:w="11909" w:orient="portrait"/>
      <w:pgMar w:bottom="964" w:top="964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rPr>
      <w:rFonts w:ascii="Times New Roman" w:hAnsi="Times New Roman" w:cs="Times New Roman" w:eastAsia="Times New Roman"/>
    </w:rPr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/>
    </w:pPr>
    <w:rPr>
      <w:rFonts w:ascii="Arial" w:hAnsi="Arial" w:cs="Times New Roman" w:eastAsia="Times New Roman"/>
      <w:color w:val="000000"/>
      <w:sz w:val="20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Arial" w:hAnsi="Arial" w:cs="Times New Roman" w:eastAsia="Times New Roman"/>
      <w:color w:val="000000"/>
      <w:sz w:val="36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rFonts w:ascii="Times New Roman" w:hAnsi="Times New Roman" w:cs="Times New Roman" w:eastAsia="Times New Roman"/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rFonts w:ascii="Times New Roman" w:hAnsi="Times New Roman" w:cs="Times New Roman" w:eastAsia="Times New Roman"/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Times New Roman" w:hAnsi="Times New Roman" w:cs="Times New Roman" w:eastAsia="Times New Roman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Times New Roman" w:hAnsi="Times New Roman" w:cs="Times New Roman" w:eastAsia="Times New Roman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Times New Roman" w:hAnsi="Times New Roman" w:cs="Times New Roman" w:eastAsia="Times New Roman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0" w:lineRule="auto"/>
    </w:pPr>
    <w:rPr>
      <w:rFonts w:ascii="Arial" w:hAnsi="Arial" w:cs="Times New Roman" w:eastAsia="Times New Roman"/>
      <w:color w:val="000000"/>
      <w:sz w:val="36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Times New Roman" w:cs="Times New Roman" w:eastAsia="Times New Roman" w:hAnsi="Times New Roman"/>
      <w:i w:val="0"/>
      <w:iCs w:val="0"/>
      <w:color w:val="666666"/>
      <w:sz w:val="30"/>
      <w:szCs w:val="30"/>
    </w:rPr>
  </w:style>
  <w:style w:type="table" w:styleId="Table1">
    <w:basedOn w:val="TableNormal"/>
    <w:rPr>
      <w:rFonts w:ascii="Times New Roman" w:hAnsi="Times New Roman" w:cs="Times New Roman" w:eastAsia="Times New Roman"/>
    </w:rPr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