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Система Попутчик  Карта MVP и ресурсов</w:t>
      </w:r>
    </w:p>
    <w:p>
      <w:pPr>
        <w:spacing w:after="200"/>
      </w:pPr>
      <w:r>
        <w:t>MVP проверяет спрос и экономику объединённой доставки. За 6 недель — MVP и первые тестовые заказы; решение о расширении — по итогам М2. Бюджет 500 тыс. ₽ рассчитан на 6 месяцев с начала разработки.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6463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sz w:val="19"/>
              </w:rPr>
              <w:t>Ресурс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sz w:val="19"/>
              </w:rPr>
              <w:t>Наличие или цель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EF3"/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/>
                <w:sz w:val="19"/>
              </w:rPr>
              <w:t>Использование и условие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Разработка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Своими силами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Telegram-боты клиента, магазина и курьера, простая админка. В MVP: продукты, кафе и бытовые товары. Лекарства исключены. Наличие, состав, замены, цена и слот согласуются до оплаты; автоматических замен нет.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ИИ и алгоритмы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Готовые сервисы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LLM разбирает текстовые и голосовые заказы, нормализует каталог; история помогает повторять покупки. Распознавание речи — готовый API. Маршруты рассчитывает OR-Tools: это алгоритмическая оптимизация, а не генеративный ИИ.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Данные и каталог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Нужно собрать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Прайс — файл или таблица. Фото распознаётся в черновик, который проверяет магазин. 15 минут — целевое время типового импорта, не гарантия. История заказов появляется в пилоте; геоданные — OpenStreetMap.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Магазины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10 в пилоте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Карта 50 магазинов — список контактов, не договорённости. До разработки: 20 интервью; минимум 8 магазинов прислали прайс и письменно приняли условия. Это гипотеза порога запуска. Комиссия — 10% с заказа.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Курьеры и зона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2 в пилоте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Один город, одна компактная зона, согласованные слоты. База модели: рейс 300 ₽ / 3 заказа = 100 ₽ на заказ. После пилота курьеров добавляют по нагрузке; число 2 не ограничивает дальнейший рост.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Сроки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6 недель на MVP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М1, недели 1–4: разработка, каталоги, согласование заказа, оплата и маршруты. М2, недели 5–8: пилот на 10 магазинах и 2 курьерах. Продажи в модели — с М2 с коэффициентом 0,5 месяца. Массовый маркетинг — с М3 после успешного пилота.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Проверка пилота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Условия роста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Цель: ≥3 завершённых заказа на рейс и ≤100 ₽ курьерских затрат на заказ. Если не достигли — массовый маркетинг не запускать; менять зону и слоты. Retention-7 &gt;25%: повторный завершённый оплаченный заказ в дни 1–7 после первого, только созревшие когорты; платную и промо доставку считать отдельно.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Бюджет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500 000 ₽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На 6 месяцев с начала разработки: 150 тыс. разработка, 200 тыс. маркетинг, 60 тыс. поддержка курьеров на пилоте, 30 тыс. сервер, 60 тыс. резерв. Поддержка — дополнительные выплаты сверх оплаты заказов. Зарплата команды 0 — допущение.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Продвижение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После проверки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QR в магазинах, местные сообщества, рекомендации. Доставка обычно 99 ₽. Бесплатная доставка — адресная акция; общий лимит 15% завершённых заказов. В М2 — 10 тыс. ₽ на контролируемое привлечение в пилот; массовое продвижение — после успешного пилота.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Платежи и запуск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Требует подготовки</w:t>
            </w:r>
          </w:p>
        </w:tc>
        <w:tc>
          <w:tcPr>
            <w:tcW w:type="dxa" w:w="646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rFonts w:ascii="Arial" w:hAnsi="Arial"/>
                <w:b w:val="0"/>
                <w:sz w:val="19"/>
              </w:rPr>
              <w:t>Провайдер должен поддерживать работу с несколькими продавцами. До реального запуска согласовать договорную и расчётную схему, возвраты и обработку персональных данных. Готовность юридической схемы не предполагается автоматически.</w:t>
            </w:r>
          </w:p>
        </w:tc>
      </w:tr>
    </w:tbl>
    <w:sectPr>
      <w:pgSz w:h="16834" w:w="11909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rPr>
      <w:rFonts w:ascii="Times New Roman" w:hAnsi="Times New Roman" w:cs="Times New Roman" w:eastAsia="Times New Roman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/>
    </w:pPr>
    <w:rPr>
      <w:rFonts w:ascii="Arial" w:hAnsi="Arial" w:cs="Times New Roman" w:eastAsia="Times New Roman"/>
      <w:color w:val="000000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hAnsi="Arial" w:cs="Times New Roman" w:eastAsia="Times New Roman"/>
      <w:color w:val="000000"/>
      <w:sz w:val="36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Times New Roman" w:hAnsi="Times New Roman" w:cs="Times New Roman" w:eastAsia="Times New Roman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Times New Roman" w:hAnsi="Times New Roman" w:cs="Times New Roman" w:eastAsia="Times New Roman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Times New Roman" w:hAnsi="Times New Roman" w:cs="Times New Roman"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Rule="auto"/>
    </w:pPr>
    <w:rPr>
      <w:rFonts w:ascii="Arial" w:hAnsi="Arial" w:cs="Times New Roman" w:eastAsia="Times New Roman"/>
      <w:color w:val="000000"/>
      <w:sz w:val="36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cs="Times New Roman" w:eastAsia="Times New Roman" w:hAnsi="Times New Roman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Times New Roman" w:hAnsi="Times New Roman" w:cs="Times New Roman" w:eastAsia="Times New Roman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