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0D7FA8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0D7FA8">
              <w:rPr>
                <w:b/>
                <w:sz w:val="24"/>
                <w:szCs w:val="24"/>
              </w:rPr>
              <w:t xml:space="preserve"> </w:t>
            </w:r>
            <w:r w:rsidR="005D6425" w:rsidRPr="000D7FA8">
              <w:rPr>
                <w:b/>
                <w:sz w:val="24"/>
                <w:szCs w:val="24"/>
              </w:rPr>
              <w:t>2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>09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5D6425">
              <w:rPr>
                <w:sz w:val="24"/>
                <w:szCs w:val="24"/>
                <w:u w:val="single"/>
                <w:lang w:val="en-US"/>
              </w:rPr>
              <w:t>25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1B561B" w:rsidRDefault="001B561B" w:rsidP="001B561B">
      <w:pPr>
        <w:ind w:firstLine="0"/>
      </w:pPr>
    </w:p>
    <w:p w:rsidR="003955AA" w:rsidRDefault="003955AA" w:rsidP="001B561B">
      <w:pPr>
        <w:ind w:firstLine="0"/>
      </w:pPr>
    </w:p>
    <w:p w:rsidR="00DF7243" w:rsidRPr="003955AA" w:rsidRDefault="003955AA" w:rsidP="003955AA">
      <w:pPr>
        <w:ind w:firstLine="0"/>
        <w:jc w:val="center"/>
        <w:rPr>
          <w:b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3955AA" w:rsidRDefault="005D6425" w:rsidP="00A6432B">
      <w:pPr>
        <w:ind w:left="-709" w:firstLine="425"/>
      </w:pPr>
      <w:r>
        <w:t>Розв’язати транспортну задачу за варіантом, заданим в домашньому завданні №1, методом потенціалів для кожного знайденого опорного плану, використовуючи алгоритм №1. Зробити висновки.</w:t>
      </w:r>
    </w:p>
    <w:p w:rsidR="005D6425" w:rsidRDefault="005D6425" w:rsidP="00A6432B">
      <w:pPr>
        <w:ind w:left="-709" w:firstLine="425"/>
      </w:pPr>
    </w:p>
    <w:p w:rsidR="00857CFC" w:rsidRDefault="00857CFC" w:rsidP="00A6432B">
      <w:pPr>
        <w:ind w:left="-709" w:firstLine="425"/>
      </w:pPr>
      <w:r>
        <w:t>Розв’яжемо задачу для опорного плану, описаного таблицею</w:t>
      </w:r>
    </w:p>
    <w:tbl>
      <w:tblPr>
        <w:tblStyle w:val="ab"/>
        <w:tblW w:w="0" w:type="auto"/>
        <w:jc w:val="center"/>
        <w:tblInd w:w="-709" w:type="dxa"/>
        <w:tblLook w:val="04A0" w:firstRow="1" w:lastRow="0" w:firstColumn="1" w:lastColumn="0" w:noHBand="0" w:noVBand="1"/>
      </w:tblPr>
      <w:tblGrid>
        <w:gridCol w:w="521"/>
        <w:gridCol w:w="509"/>
        <w:gridCol w:w="515"/>
        <w:gridCol w:w="515"/>
        <w:gridCol w:w="504"/>
      </w:tblGrid>
      <w:tr w:rsidR="00857CFC" w:rsidTr="00857CF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857CFC" w:rsidRPr="002D5B63" w:rsidRDefault="00857CFC" w:rsidP="00E412C8">
            <w:pPr>
              <w:ind w:firstLine="0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857CFC" w:rsidRPr="004A0761" w:rsidRDefault="00F10D4E" w:rsidP="00E412C8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857CFC" w:rsidRPr="004A0761" w:rsidRDefault="00F10D4E" w:rsidP="00E412C8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857CFC" w:rsidRPr="004A0761" w:rsidRDefault="00F10D4E" w:rsidP="00E412C8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857CFC" w:rsidRPr="004A0761" w:rsidRDefault="00F10D4E" w:rsidP="00E412C8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857CFC" w:rsidTr="00857CF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857CFC" w:rsidRPr="004A0761" w:rsidRDefault="00F10D4E" w:rsidP="00E412C8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857CFC" w:rsidRPr="000F76FC" w:rsidRDefault="00857CFC" w:rsidP="00E412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857CFC" w:rsidRPr="00452C6A" w:rsidRDefault="00857CFC" w:rsidP="00E412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857CFC" w:rsidRDefault="00857CFC" w:rsidP="00E412C8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857CFC" w:rsidRDefault="00857CFC" w:rsidP="00E412C8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</w:tr>
      <w:tr w:rsidR="00857CFC" w:rsidTr="00857CF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857CFC" w:rsidRPr="004A0761" w:rsidRDefault="00F10D4E" w:rsidP="00E412C8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857CFC" w:rsidRDefault="00857CFC" w:rsidP="00E412C8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vAlign w:val="center"/>
          </w:tcPr>
          <w:p w:rsidR="00857CFC" w:rsidRPr="00452C6A" w:rsidRDefault="00857CFC" w:rsidP="00E412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57CFC" w:rsidRPr="00452C6A" w:rsidRDefault="00857CFC" w:rsidP="00E412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857CFC" w:rsidRPr="00FB11A5" w:rsidRDefault="00857CFC" w:rsidP="00E412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57CFC" w:rsidTr="00857CFC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857CFC" w:rsidRPr="004A0761" w:rsidRDefault="00F10D4E" w:rsidP="00E412C8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57CFC" w:rsidRDefault="00857CFC" w:rsidP="00E412C8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57CFC" w:rsidRDefault="00857CFC" w:rsidP="00E412C8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857CFC" w:rsidRDefault="00857CFC" w:rsidP="00E412C8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57CFC" w:rsidRPr="00FB11A5" w:rsidRDefault="00857CFC" w:rsidP="00E412C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67165C" w:rsidRPr="0067165C" w:rsidRDefault="0067165C" w:rsidP="0067165C">
      <w:pPr>
        <w:pStyle w:val="1"/>
      </w:pPr>
      <w:bookmarkStart w:id="0" w:name="_GoBack"/>
      <w:bookmarkEnd w:id="0"/>
      <w:r w:rsidRPr="0067165C">
        <w:t>Ітерація 1</w:t>
      </w:r>
    </w:p>
    <w:p w:rsidR="00857CFC" w:rsidRPr="00843D20" w:rsidRDefault="00857CFC" w:rsidP="00857CFC">
      <w:pPr>
        <w:pStyle w:val="a3"/>
        <w:numPr>
          <w:ilvl w:val="0"/>
          <w:numId w:val="3"/>
        </w:numPr>
      </w:pPr>
      <w:r>
        <w:t xml:space="preserve">Ставимо у відповідність кожній умові для постачальників двоїсту змінну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а для споживачів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3D20">
        <w:rPr>
          <w:rFonts w:eastAsiaTheme="minorEastAsia"/>
          <w:lang w:val="ru-RU"/>
        </w:rPr>
        <w:t>.</w:t>
      </w:r>
    </w:p>
    <w:p w:rsidR="00843D20" w:rsidRPr="00843D20" w:rsidRDefault="00843D20" w:rsidP="00857CFC">
      <w:pPr>
        <w:pStyle w:val="a3"/>
        <w:numPr>
          <w:ilvl w:val="0"/>
          <w:numId w:val="3"/>
        </w:numPr>
      </w:pPr>
      <w:r>
        <w:rPr>
          <w:lang w:val="ru-RU"/>
        </w:rPr>
        <w:t xml:space="preserve">Для </w:t>
      </w:r>
      <w:r>
        <w:t xml:space="preserve">базисних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43D2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будуємо систему </w:t>
      </w:r>
      <w:proofErr w:type="gramStart"/>
      <w:r>
        <w:rPr>
          <w:rFonts w:eastAsiaTheme="minorEastAsia"/>
        </w:rPr>
        <w:t>р</w:t>
      </w:r>
      <w:proofErr w:type="gramEnd"/>
      <w:r>
        <w:rPr>
          <w:rFonts w:eastAsiaTheme="minorEastAsia"/>
        </w:rPr>
        <w:t xml:space="preserve">івнянь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843D20" w:rsidRPr="000D7FA8" w:rsidRDefault="00F10D4E" w:rsidP="00843D20">
      <w:pPr>
        <w:pStyle w:val="a3"/>
        <w:ind w:left="76" w:firstLine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-8=0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-7=0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-4=0</m:t>
                  </m:r>
                </m:e>
              </m:eqArr>
            </m:e>
          </m:d>
        </m:oMath>
      </m:oMathPara>
    </w:p>
    <w:p w:rsidR="000D7FA8" w:rsidRPr="00843D20" w:rsidRDefault="000D7FA8" w:rsidP="000D7FA8">
      <w:pPr>
        <w:pStyle w:val="a3"/>
        <w:numPr>
          <w:ilvl w:val="0"/>
          <w:numId w:val="3"/>
        </w:numPr>
        <w:rPr>
          <w:lang w:val="ru-RU"/>
        </w:rPr>
      </w:pPr>
      <w:r>
        <w:rPr>
          <w:rFonts w:eastAsiaTheme="minorEastAsia"/>
        </w:rPr>
        <w:lastRenderedPageBreak/>
        <w:t xml:space="preserve">Розв’язуємо систему відносно двоїстих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, </w:t>
      </w:r>
      <w:r w:rsidRPr="00843D20">
        <w:rPr>
          <w:rFonts w:eastAsiaTheme="minorEastAsia"/>
        </w:rPr>
        <w:t>прийнявши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843D20" w:rsidRPr="00354A33" w:rsidRDefault="00F10D4E" w:rsidP="00843D20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:rsidR="00354A33" w:rsidRPr="00ED6F32" w:rsidRDefault="00354A33" w:rsidP="00354A33">
      <w:pPr>
        <w:pStyle w:val="a3"/>
        <w:numPr>
          <w:ilvl w:val="0"/>
          <w:numId w:val="3"/>
        </w:numPr>
        <w:rPr>
          <w:lang w:val="ru-RU"/>
        </w:rPr>
      </w:pPr>
      <w:r>
        <w:rPr>
          <w:rFonts w:eastAsiaTheme="minorEastAsia"/>
        </w:rPr>
        <w:t xml:space="preserve">Підставляємо знайдені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354A33">
        <w:rPr>
          <w:rFonts w:eastAsiaTheme="minorEastAsia"/>
        </w:rPr>
        <w:t>в другу умову оптимальності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 w:rsidR="00ED6F32">
        <w:rPr>
          <w:rFonts w:eastAsiaTheme="minorEastAsia"/>
          <w:lang w:val="ru-RU"/>
        </w:rPr>
        <w:t>:</w:t>
      </w:r>
    </w:p>
    <w:p w:rsidR="00ED6F32" w:rsidRPr="000A2FF0" w:rsidRDefault="00F10D4E" w:rsidP="00ED6F32">
      <w:pPr>
        <w:pStyle w:val="a3"/>
        <w:ind w:left="76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=6-0-1=4&gt;0</m:t>
          </m:r>
        </m:oMath>
      </m:oMathPara>
    </w:p>
    <w:p w:rsidR="000A2FF0" w:rsidRPr="00E526D1" w:rsidRDefault="00F10D4E" w:rsidP="00ED6F32">
      <w:pPr>
        <w:pStyle w:val="a3"/>
        <w:ind w:left="76"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2-0-3=-1≤0</m:t>
          </m:r>
        </m:oMath>
      </m:oMathPara>
    </w:p>
    <w:p w:rsidR="00E526D1" w:rsidRPr="00E526D1" w:rsidRDefault="00F10D4E" w:rsidP="00ED6F32">
      <w:pPr>
        <w:pStyle w:val="a3"/>
        <w:ind w:left="76"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=1-1-4=-4≤0</m:t>
          </m:r>
        </m:oMath>
      </m:oMathPara>
    </w:p>
    <w:p w:rsidR="00E526D1" w:rsidRPr="00E526D1" w:rsidRDefault="00F10D4E" w:rsidP="00ED6F32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-5=-2≤0</m:t>
          </m:r>
        </m:oMath>
      </m:oMathPara>
    </w:p>
    <w:p w:rsidR="00E526D1" w:rsidRPr="00E526D1" w:rsidRDefault="00F10D4E" w:rsidP="00ED6F32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=8-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-3=7&gt;0</m:t>
          </m:r>
        </m:oMath>
      </m:oMathPara>
    </w:p>
    <w:p w:rsidR="00E526D1" w:rsidRPr="00E526D1" w:rsidRDefault="00F10D4E" w:rsidP="00ED6F32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=6-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-4=4&gt;0</m:t>
          </m:r>
        </m:oMath>
      </m:oMathPara>
    </w:p>
    <w:p w:rsidR="00ED6F32" w:rsidRDefault="00ED6F32" w:rsidP="00ED6F32">
      <w:pPr>
        <w:pStyle w:val="a3"/>
        <w:ind w:left="76" w:firstLine="0"/>
        <w:rPr>
          <w:rFonts w:eastAsiaTheme="minorEastAsia"/>
        </w:rPr>
      </w:pPr>
      <w:r>
        <w:rPr>
          <w:rFonts w:eastAsiaTheme="minorEastAsia"/>
        </w:rPr>
        <w:t>Умова виконується не для всіх небазисних змінних, тому отриманий розв’язок не є оптимальним.</w:t>
      </w:r>
    </w:p>
    <w:p w:rsidR="008F7126" w:rsidRPr="008F7126" w:rsidRDefault="00ED6F32" w:rsidP="008F7126">
      <w:pPr>
        <w:pStyle w:val="a3"/>
        <w:numPr>
          <w:ilvl w:val="0"/>
          <w:numId w:val="3"/>
        </w:numPr>
        <w:rPr>
          <w:rFonts w:eastAsiaTheme="minorEastAsia"/>
          <w:lang w:val="ru-RU"/>
        </w:rPr>
      </w:pPr>
      <w:r>
        <w:rPr>
          <w:rFonts w:eastAsiaTheme="minorEastAsia"/>
        </w:rPr>
        <w:t>Переходимо</w:t>
      </w:r>
      <w:r w:rsidR="008F7126">
        <w:rPr>
          <w:rFonts w:eastAsiaTheme="minorEastAsia"/>
        </w:rPr>
        <w:t xml:space="preserve"> до нового базисного розв’язку</w:t>
      </w:r>
      <w:r w:rsidR="008F7126" w:rsidRPr="008F7126">
        <w:rPr>
          <w:rFonts w:eastAsiaTheme="minorEastAsia"/>
          <w:lang w:val="ru-RU"/>
        </w:rPr>
        <w:t>.</w:t>
      </w:r>
    </w:p>
    <w:p w:rsidR="00ED6F32" w:rsidRPr="008F7126" w:rsidRDefault="008F7126" w:rsidP="008F7126">
      <w:pPr>
        <w:pStyle w:val="a3"/>
        <w:ind w:left="76" w:firstLine="0"/>
        <w:rPr>
          <w:i/>
          <w:lang w:val="ru-RU"/>
        </w:rPr>
      </w:pPr>
      <w:r>
        <w:t xml:space="preserve">Початковий план є виродженим, тому замінюємо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C925A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F7126" w:rsidTr="006B588D">
        <w:trPr>
          <w:trHeight w:val="2298"/>
          <w:jc w:val="center"/>
        </w:trPr>
        <w:tc>
          <w:tcPr>
            <w:tcW w:w="4785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8F7126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2D5B63" w:rsidRDefault="008F7126" w:rsidP="00B25F34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8F7126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8F7126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F7126" w:rsidRPr="00373562" w:rsidRDefault="008F7126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8F7126" w:rsidRPr="00373562" w:rsidRDefault="008F7126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8F7126" w:rsidRDefault="008F7126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8F7126" w:rsidRDefault="008F7126" w:rsidP="00B25F34">
                  <w:pPr>
                    <w:ind w:firstLine="0"/>
                    <w:jc w:val="center"/>
                  </w:pPr>
                </w:p>
              </w:tc>
            </w:tr>
            <w:tr w:rsidR="008F7126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F7126" w:rsidRDefault="008F7126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8F7126" w:rsidRPr="008F7126" w:rsidRDefault="008F7126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F7126" w:rsidRPr="008F7126" w:rsidRDefault="008F7126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8F7126" w:rsidRPr="008F7126" w:rsidRDefault="008F7126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oMath>
                  </m:oMathPara>
                </w:p>
              </w:tc>
            </w:tr>
            <w:tr w:rsidR="008F7126" w:rsidTr="00B25F34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8F7126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8F7126" w:rsidRDefault="008F7126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8F7126" w:rsidRPr="008F7126" w:rsidRDefault="008F7126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8F7126" w:rsidRDefault="008F7126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F7126" w:rsidRPr="00776819" w:rsidRDefault="008F7126" w:rsidP="008F7126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oMath>
                  </m:oMathPara>
                </w:p>
              </w:tc>
            </w:tr>
          </w:tbl>
          <w:p w:rsidR="008F7126" w:rsidRDefault="008F7126" w:rsidP="008F7126">
            <w:pPr>
              <w:pStyle w:val="a3"/>
              <w:ind w:left="0" w:firstLine="0"/>
              <w:jc w:val="center"/>
            </w:pPr>
          </w:p>
        </w:tc>
        <w:tc>
          <w:tcPr>
            <w:tcW w:w="4786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997"/>
            </w:tblGrid>
            <w:tr w:rsidR="008F7126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2D5B63" w:rsidRDefault="008F7126" w:rsidP="008F7126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8F7126" w:rsidRPr="004A0761" w:rsidRDefault="00F10D4E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8F7126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F7126" w:rsidRPr="00373562" w:rsidRDefault="008F7126" w:rsidP="008F7126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8F7126" w:rsidRPr="00373562" w:rsidRDefault="008F7126" w:rsidP="008F7126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8F7126" w:rsidRDefault="008F7126" w:rsidP="008F7126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8F7126" w:rsidRDefault="008F7126" w:rsidP="008F7126">
                  <w:pPr>
                    <w:ind w:firstLine="0"/>
                    <w:jc w:val="center"/>
                  </w:pPr>
                </w:p>
              </w:tc>
            </w:tr>
            <w:tr w:rsidR="008F7126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8F7126" w:rsidRPr="004A0761" w:rsidRDefault="00F10D4E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F7126" w:rsidRDefault="008F7126" w:rsidP="008F7126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8F7126" w:rsidRPr="00776819" w:rsidRDefault="008F7126" w:rsidP="008F7126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8F7126" w:rsidRPr="00C925A3" w:rsidRDefault="008F7126" w:rsidP="008F7126">
                  <w:pPr>
                    <w:ind w:firstLine="0"/>
                    <w:jc w:val="center"/>
                  </w:pPr>
                  <w:r>
                    <w:t>40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8F7126" w:rsidRPr="00776819" w:rsidRDefault="008F7126" w:rsidP="008F7126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10+ε</m:t>
                      </m:r>
                    </m:oMath>
                  </m:oMathPara>
                </w:p>
              </w:tc>
            </w:tr>
            <w:tr w:rsidR="008F7126" w:rsidTr="00B25F34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8F7126" w:rsidRPr="004A0761" w:rsidRDefault="00F10D4E" w:rsidP="008F7126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8F7126" w:rsidRDefault="008F7126" w:rsidP="008F7126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8F7126" w:rsidRPr="0000501B" w:rsidRDefault="008F7126" w:rsidP="008F7126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8F7126" w:rsidRDefault="008F7126" w:rsidP="008F7126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8F7126" w:rsidRPr="00776819" w:rsidRDefault="008F7126" w:rsidP="008F7126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20-ε</m:t>
                      </m:r>
                    </m:oMath>
                  </m:oMathPara>
                </w:p>
              </w:tc>
            </w:tr>
          </w:tbl>
          <w:p w:rsidR="008F7126" w:rsidRDefault="008F7126" w:rsidP="008F7126">
            <w:pPr>
              <w:pStyle w:val="a3"/>
              <w:ind w:left="0" w:firstLine="0"/>
              <w:jc w:val="center"/>
            </w:pPr>
          </w:p>
        </w:tc>
      </w:tr>
    </w:tbl>
    <w:p w:rsidR="00892D0F" w:rsidRDefault="00C54CFE" w:rsidP="00C54CFE">
      <w:pPr>
        <w:pStyle w:val="a3"/>
        <w:ind w:left="76" w:firstLine="0"/>
      </w:pPr>
      <w:r>
        <w:t>Переходимо до пункту 2 алгоритму.</w:t>
      </w:r>
    </w:p>
    <w:p w:rsidR="0067165C" w:rsidRPr="0067165C" w:rsidRDefault="0067165C" w:rsidP="0067165C">
      <w:pPr>
        <w:pStyle w:val="1"/>
        <w:spacing w:before="120"/>
      </w:pPr>
      <w:r w:rsidRPr="0067165C">
        <w:t xml:space="preserve">Ітерація </w:t>
      </w:r>
      <w:r>
        <w:t>2</w:t>
      </w:r>
    </w:p>
    <w:p w:rsidR="00892D0F" w:rsidRPr="00843D20" w:rsidRDefault="00892D0F" w:rsidP="000D7FA8">
      <w:pPr>
        <w:pStyle w:val="a3"/>
        <w:numPr>
          <w:ilvl w:val="0"/>
          <w:numId w:val="3"/>
        </w:numPr>
      </w:pPr>
      <w:r>
        <w:rPr>
          <w:lang w:val="ru-RU"/>
        </w:rPr>
        <w:t xml:space="preserve">Для </w:t>
      </w:r>
      <w:r>
        <w:t xml:space="preserve">базисних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43D2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будуємо систему </w:t>
      </w:r>
      <w:proofErr w:type="gramStart"/>
      <w:r>
        <w:rPr>
          <w:rFonts w:eastAsiaTheme="minorEastAsia"/>
        </w:rPr>
        <w:t>р</w:t>
      </w:r>
      <w:proofErr w:type="gramEnd"/>
      <w:r>
        <w:rPr>
          <w:rFonts w:eastAsiaTheme="minorEastAsia"/>
        </w:rPr>
        <w:t xml:space="preserve">івнянь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892D0F" w:rsidRPr="00843D20" w:rsidRDefault="00F10D4E" w:rsidP="00892D0F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-8=0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-4=0</m:t>
                  </m:r>
                </m:e>
              </m:eqArr>
            </m:e>
          </m:d>
        </m:oMath>
      </m:oMathPara>
    </w:p>
    <w:p w:rsidR="00892D0F" w:rsidRPr="00843D20" w:rsidRDefault="00892D0F" w:rsidP="000D7FA8">
      <w:pPr>
        <w:pStyle w:val="a3"/>
        <w:numPr>
          <w:ilvl w:val="0"/>
          <w:numId w:val="3"/>
        </w:numPr>
        <w:rPr>
          <w:lang w:val="ru-RU"/>
        </w:rPr>
      </w:pPr>
      <w:r>
        <w:rPr>
          <w:rFonts w:eastAsiaTheme="minorEastAsia"/>
        </w:rPr>
        <w:lastRenderedPageBreak/>
        <w:t xml:space="preserve">Розв’язуємо систему відносно двоїстих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, </w:t>
      </w:r>
      <w:r w:rsidRPr="00843D20">
        <w:rPr>
          <w:rFonts w:eastAsiaTheme="minorEastAsia"/>
        </w:rPr>
        <w:t>прийнявши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892D0F" w:rsidRPr="00354A33" w:rsidRDefault="00F10D4E" w:rsidP="00892D0F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</m:e>
              </m:eqArr>
            </m:e>
          </m:d>
        </m:oMath>
      </m:oMathPara>
    </w:p>
    <w:p w:rsidR="00892D0F" w:rsidRPr="00ED6F32" w:rsidRDefault="00892D0F" w:rsidP="000D7FA8">
      <w:pPr>
        <w:pStyle w:val="a3"/>
        <w:numPr>
          <w:ilvl w:val="0"/>
          <w:numId w:val="3"/>
        </w:numPr>
        <w:rPr>
          <w:lang w:val="ru-RU"/>
        </w:rPr>
      </w:pPr>
      <w:r>
        <w:rPr>
          <w:rFonts w:eastAsiaTheme="minorEastAsia"/>
        </w:rPr>
        <w:t xml:space="preserve">Підставляємо знайдені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354A33">
        <w:rPr>
          <w:rFonts w:eastAsiaTheme="minorEastAsia"/>
        </w:rPr>
        <w:t>в другу умову оптимальності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lang w:val="ru-RU"/>
        </w:rPr>
        <w:t>:</w:t>
      </w:r>
    </w:p>
    <w:p w:rsidR="00892D0F" w:rsidRPr="00C54CFE" w:rsidRDefault="00F10D4E" w:rsidP="00892D0F">
      <w:pPr>
        <w:pStyle w:val="a3"/>
        <w:ind w:left="76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=13-0-2=11</m:t>
          </m:r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892D0F" w:rsidRPr="00E526D1" w:rsidRDefault="00F10D4E" w:rsidP="00892D0F">
      <w:pPr>
        <w:pStyle w:val="a3"/>
        <w:ind w:left="76"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9-0-3=6&gt;0</m:t>
          </m:r>
        </m:oMath>
      </m:oMathPara>
    </w:p>
    <w:p w:rsidR="00892D0F" w:rsidRPr="00C54CFE" w:rsidRDefault="00F10D4E" w:rsidP="00892D0F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1-8-4=-11≤0</m:t>
          </m:r>
        </m:oMath>
      </m:oMathPara>
    </w:p>
    <w:p w:rsidR="00892D0F" w:rsidRPr="00E526D1" w:rsidRDefault="00F10D4E" w:rsidP="00892D0F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1-5-5=-9≤0</m:t>
          </m:r>
        </m:oMath>
      </m:oMathPara>
    </w:p>
    <w:p w:rsidR="00892D0F" w:rsidRPr="00E526D1" w:rsidRDefault="00F10D4E" w:rsidP="00892D0F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=8-8-7=-7≤0</m:t>
          </m:r>
        </m:oMath>
      </m:oMathPara>
    </w:p>
    <w:p w:rsidR="00892D0F" w:rsidRPr="00E526D1" w:rsidRDefault="00F10D4E" w:rsidP="00892D0F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13-5-4=4&gt;0</m:t>
          </m:r>
        </m:oMath>
      </m:oMathPara>
    </w:p>
    <w:p w:rsidR="00E412C8" w:rsidRDefault="00E412C8" w:rsidP="00E412C8">
      <w:pPr>
        <w:pStyle w:val="a3"/>
        <w:ind w:left="76" w:firstLine="0"/>
        <w:rPr>
          <w:rFonts w:eastAsiaTheme="minorEastAsia"/>
        </w:rPr>
      </w:pPr>
      <w:r>
        <w:rPr>
          <w:rFonts w:eastAsiaTheme="minorEastAsia"/>
        </w:rPr>
        <w:t>Умова виконується не для всіх небазисних змінних, тому отриманий розв’язок не є оптимальним.</w:t>
      </w:r>
    </w:p>
    <w:p w:rsidR="00E412C8" w:rsidRPr="00ED6F32" w:rsidRDefault="00E412C8" w:rsidP="000D7FA8">
      <w:pPr>
        <w:pStyle w:val="a3"/>
        <w:numPr>
          <w:ilvl w:val="0"/>
          <w:numId w:val="3"/>
        </w:numPr>
      </w:pPr>
      <w:r w:rsidRPr="00E412C8">
        <w:rPr>
          <w:rFonts w:eastAsiaTheme="minorEastAsia"/>
        </w:rPr>
        <w:t>Переходимо до нового базисного розв’язку: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B69AE" w:rsidTr="00B25F34">
        <w:trPr>
          <w:trHeight w:val="2298"/>
          <w:jc w:val="center"/>
        </w:trPr>
        <w:tc>
          <w:tcPr>
            <w:tcW w:w="4785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1B69AE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2D5B63" w:rsidRDefault="001B69AE" w:rsidP="00B25F34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1B69AE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1B69AE" w:rsidRPr="00373562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1B69AE" w:rsidRPr="00373562" w:rsidRDefault="003308AB" w:rsidP="00B25F34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1B69AE" w:rsidRPr="006A1CD1" w:rsidRDefault="006A1CD1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1B69AE" w:rsidRPr="001B69AE" w:rsidRDefault="001B69AE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1B69AE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1B69AE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1B69AE" w:rsidRPr="008F7126" w:rsidRDefault="001B69AE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B69AE" w:rsidRPr="008F7126" w:rsidRDefault="006A1CD1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1B69AE" w:rsidRPr="008F7126" w:rsidRDefault="003308AB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oMath>
                  </m:oMathPara>
                </w:p>
              </w:tc>
            </w:tr>
            <w:tr w:rsidR="001B69AE" w:rsidTr="00B25F34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1B69AE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1B69AE" w:rsidRPr="008F7126" w:rsidRDefault="003308AB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1B69AE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1B69AE" w:rsidRPr="00776819" w:rsidRDefault="003308AB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oMath>
                  </m:oMathPara>
                </w:p>
              </w:tc>
            </w:tr>
          </w:tbl>
          <w:p w:rsidR="001B69AE" w:rsidRDefault="001B69AE" w:rsidP="00B25F34">
            <w:pPr>
              <w:pStyle w:val="a3"/>
              <w:ind w:left="0" w:firstLine="0"/>
              <w:jc w:val="center"/>
            </w:pPr>
          </w:p>
        </w:tc>
        <w:tc>
          <w:tcPr>
            <w:tcW w:w="4786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997"/>
              <w:gridCol w:w="515"/>
              <w:gridCol w:w="997"/>
            </w:tblGrid>
            <w:tr w:rsidR="001B69AE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2D5B63" w:rsidRDefault="001B69AE" w:rsidP="00B25F34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1B69AE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1B69AE" w:rsidRPr="00373562" w:rsidRDefault="001B69AE" w:rsidP="00B25F34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1B69AE" w:rsidRPr="00373562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1B69AE" w:rsidRPr="003308AB" w:rsidRDefault="003308AB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1B69AE" w:rsidRPr="0067165C" w:rsidRDefault="001B69AE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1B69AE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1B69AE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1B69AE" w:rsidRPr="00776819" w:rsidRDefault="001B69AE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B69AE" w:rsidRPr="003308AB" w:rsidRDefault="003308AB" w:rsidP="003308A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1B69AE" w:rsidRPr="00776819" w:rsidRDefault="00D604DF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25+ε</m:t>
                      </m:r>
                    </m:oMath>
                  </m:oMathPara>
                </w:p>
              </w:tc>
            </w:tr>
            <w:tr w:rsidR="001B69AE" w:rsidTr="00B25F34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1B69AE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1B69AE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1B69AE" w:rsidRPr="0000501B" w:rsidRDefault="0067165C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15+</m:t>
                      </m:r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1B69AE" w:rsidRDefault="001B69AE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1B69AE" w:rsidRPr="00776819" w:rsidRDefault="0067165C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5-ε</m:t>
                      </m:r>
                    </m:oMath>
                  </m:oMathPara>
                </w:p>
              </w:tc>
            </w:tr>
          </w:tbl>
          <w:p w:rsidR="001B69AE" w:rsidRDefault="001B69AE" w:rsidP="00B25F34">
            <w:pPr>
              <w:pStyle w:val="a3"/>
              <w:ind w:left="0" w:firstLine="0"/>
              <w:jc w:val="center"/>
            </w:pPr>
          </w:p>
        </w:tc>
      </w:tr>
    </w:tbl>
    <w:p w:rsidR="0067165C" w:rsidRDefault="0067165C" w:rsidP="0067165C">
      <w:pPr>
        <w:pStyle w:val="a3"/>
        <w:ind w:left="76" w:firstLine="0"/>
      </w:pPr>
      <w:r>
        <w:t>Переходимо до пункту 2 алгоритму.</w:t>
      </w:r>
    </w:p>
    <w:p w:rsidR="0067165C" w:rsidRPr="0067165C" w:rsidRDefault="0067165C" w:rsidP="0067165C">
      <w:pPr>
        <w:pStyle w:val="1"/>
        <w:spacing w:before="120"/>
      </w:pPr>
      <w:r w:rsidRPr="0067165C">
        <w:t xml:space="preserve">Ітерація </w:t>
      </w:r>
      <w:r>
        <w:t>3</w:t>
      </w:r>
    </w:p>
    <w:p w:rsidR="0067165C" w:rsidRPr="00843D20" w:rsidRDefault="0067165C" w:rsidP="0067165C">
      <w:pPr>
        <w:pStyle w:val="a3"/>
        <w:numPr>
          <w:ilvl w:val="0"/>
          <w:numId w:val="6"/>
        </w:numPr>
      </w:pPr>
      <w:r>
        <w:rPr>
          <w:lang w:val="ru-RU"/>
        </w:rPr>
        <w:t xml:space="preserve">Для </w:t>
      </w:r>
      <w:r>
        <w:t xml:space="preserve">базисних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43D2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будуємо систему </w:t>
      </w:r>
      <w:proofErr w:type="gramStart"/>
      <w:r>
        <w:rPr>
          <w:rFonts w:eastAsiaTheme="minorEastAsia"/>
        </w:rPr>
        <w:t>р</w:t>
      </w:r>
      <w:proofErr w:type="gramEnd"/>
      <w:r>
        <w:rPr>
          <w:rFonts w:eastAsiaTheme="minorEastAsia"/>
        </w:rPr>
        <w:t xml:space="preserve">івнянь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67165C" w:rsidRPr="00843D20" w:rsidRDefault="00F10D4E" w:rsidP="0067165C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-4=0</m:t>
                  </m:r>
                </m:e>
              </m:eqArr>
            </m:e>
          </m:d>
        </m:oMath>
      </m:oMathPara>
    </w:p>
    <w:p w:rsidR="0067165C" w:rsidRPr="00843D20" w:rsidRDefault="0067165C" w:rsidP="0067165C">
      <w:pPr>
        <w:pStyle w:val="a3"/>
        <w:numPr>
          <w:ilvl w:val="0"/>
          <w:numId w:val="6"/>
        </w:numPr>
        <w:rPr>
          <w:lang w:val="ru-RU"/>
        </w:rPr>
      </w:pPr>
      <w:r>
        <w:rPr>
          <w:rFonts w:eastAsiaTheme="minorEastAsia"/>
        </w:rPr>
        <w:t xml:space="preserve">Розв’язуємо систему відносно двоїстих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, </w:t>
      </w:r>
      <w:r w:rsidRPr="00843D20">
        <w:rPr>
          <w:rFonts w:eastAsiaTheme="minorEastAsia"/>
        </w:rPr>
        <w:t>прийнявши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67165C" w:rsidRPr="00354A33" w:rsidRDefault="00F10D4E" w:rsidP="0067165C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</m:e>
              </m:eqArr>
            </m:e>
          </m:d>
        </m:oMath>
      </m:oMathPara>
    </w:p>
    <w:p w:rsidR="0067165C" w:rsidRPr="00ED6F32" w:rsidRDefault="0067165C" w:rsidP="0067165C">
      <w:pPr>
        <w:pStyle w:val="a3"/>
        <w:numPr>
          <w:ilvl w:val="0"/>
          <w:numId w:val="6"/>
        </w:numPr>
        <w:rPr>
          <w:lang w:val="ru-RU"/>
        </w:rPr>
      </w:pPr>
      <w:r>
        <w:rPr>
          <w:rFonts w:eastAsiaTheme="minorEastAsia"/>
        </w:rPr>
        <w:t xml:space="preserve">Підставляємо знайдені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354A33">
        <w:rPr>
          <w:rFonts w:eastAsiaTheme="minorEastAsia"/>
        </w:rPr>
        <w:t>в другу умову оптимальності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lang w:val="ru-RU"/>
        </w:rPr>
        <w:t>:</w:t>
      </w:r>
    </w:p>
    <w:p w:rsidR="003308AB" w:rsidRPr="00C54CFE" w:rsidRDefault="00F10D4E" w:rsidP="003308AB">
      <w:pPr>
        <w:pStyle w:val="a3"/>
        <w:ind w:left="76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=-3-0-8=-11≤0</m:t>
          </m:r>
        </m:oMath>
      </m:oMathPara>
    </w:p>
    <w:p w:rsidR="003308AB" w:rsidRPr="00E526D1" w:rsidRDefault="00F10D4E" w:rsidP="003308AB">
      <w:pPr>
        <w:pStyle w:val="a3"/>
        <w:ind w:left="76"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-2-0-3=-5≤0</m:t>
          </m:r>
        </m:oMath>
      </m:oMathPara>
    </w:p>
    <w:p w:rsidR="003308AB" w:rsidRPr="00C54CFE" w:rsidRDefault="00F10D4E" w:rsidP="003308AB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-4=0≤0</m:t>
          </m:r>
        </m:oMath>
      </m:oMathPara>
    </w:p>
    <w:p w:rsidR="003308AB" w:rsidRPr="00E526D1" w:rsidRDefault="00F10D4E" w:rsidP="003308AB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-5=2&gt;0</m:t>
          </m:r>
        </m:oMath>
      </m:oMathPara>
    </w:p>
    <w:p w:rsidR="003308AB" w:rsidRPr="00E526D1" w:rsidRDefault="00F10D4E" w:rsidP="003308AB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-3-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-7=-7≤0</m:t>
          </m:r>
        </m:oMath>
      </m:oMathPara>
    </w:p>
    <w:p w:rsidR="003308AB" w:rsidRPr="00E526D1" w:rsidRDefault="00F10D4E" w:rsidP="003308AB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-4=4&gt;0</m:t>
          </m:r>
        </m:oMath>
      </m:oMathPara>
    </w:p>
    <w:p w:rsidR="0067165C" w:rsidRPr="003308AB" w:rsidRDefault="0067165C" w:rsidP="0067165C">
      <w:pPr>
        <w:pStyle w:val="a3"/>
        <w:ind w:left="76" w:firstLine="0"/>
        <w:rPr>
          <w:rFonts w:eastAsiaTheme="minorEastAsia"/>
        </w:rPr>
      </w:pPr>
      <w:r>
        <w:rPr>
          <w:rFonts w:eastAsiaTheme="minorEastAsia"/>
        </w:rPr>
        <w:t>Умова виконується не для всіх небазисних змінних, тому отриманий розв’язок не є оптимальним.</w:t>
      </w:r>
    </w:p>
    <w:p w:rsidR="0067165C" w:rsidRPr="00ED6F32" w:rsidRDefault="0067165C" w:rsidP="0067165C">
      <w:pPr>
        <w:pStyle w:val="a3"/>
        <w:numPr>
          <w:ilvl w:val="0"/>
          <w:numId w:val="6"/>
        </w:numPr>
      </w:pPr>
      <w:r w:rsidRPr="00E412C8">
        <w:rPr>
          <w:rFonts w:eastAsiaTheme="minorEastAsia"/>
        </w:rPr>
        <w:t>Переходимо до нового базисного розв’язку: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B1174" w:rsidTr="00B25F34">
        <w:trPr>
          <w:trHeight w:val="2298"/>
          <w:jc w:val="center"/>
        </w:trPr>
        <w:tc>
          <w:tcPr>
            <w:tcW w:w="4785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9B1174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2D5B63" w:rsidRDefault="009B1174" w:rsidP="00B25F34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9B1174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9B1174" w:rsidRPr="00373562" w:rsidRDefault="009B1174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9B1174" w:rsidRPr="00373562" w:rsidRDefault="009B1174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9B1174" w:rsidRPr="006A1CD1" w:rsidRDefault="009B1174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9B1174" w:rsidRPr="001B69AE" w:rsidRDefault="009B1174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9B1174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9B1174" w:rsidRDefault="009B1174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9B1174" w:rsidRPr="008F7126" w:rsidRDefault="009B1174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B1174" w:rsidRPr="008F7126" w:rsidRDefault="009B1174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9B1174" w:rsidRPr="008F7126" w:rsidRDefault="009B1174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oMath>
                  </m:oMathPara>
                </w:p>
              </w:tc>
            </w:tr>
            <w:tr w:rsidR="009B1174" w:rsidTr="00B25F34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9B1174" w:rsidRDefault="009B1174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9B1174" w:rsidRPr="008F7126" w:rsidRDefault="009B1174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9B1174" w:rsidRDefault="009B1174" w:rsidP="00B25F34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1174" w:rsidRPr="00776819" w:rsidRDefault="009B1174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oMath>
                  </m:oMathPara>
                </w:p>
              </w:tc>
            </w:tr>
          </w:tbl>
          <w:p w:rsidR="009B1174" w:rsidRDefault="009B1174" w:rsidP="00B25F34">
            <w:pPr>
              <w:pStyle w:val="a3"/>
              <w:ind w:left="0" w:firstLine="0"/>
              <w:jc w:val="center"/>
            </w:pPr>
          </w:p>
        </w:tc>
        <w:tc>
          <w:tcPr>
            <w:tcW w:w="4786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997"/>
              <w:gridCol w:w="997"/>
              <w:gridCol w:w="527"/>
            </w:tblGrid>
            <w:tr w:rsidR="009B1174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2D5B63" w:rsidRDefault="009B1174" w:rsidP="00B25F34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9B1174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9B1174" w:rsidRPr="00373562" w:rsidRDefault="009B1174" w:rsidP="00B25F34">
                  <w:pPr>
                    <w:ind w:firstLine="0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9B1174" w:rsidRPr="00373562" w:rsidRDefault="009B1174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9B1174" w:rsidRPr="003308AB" w:rsidRDefault="009B1174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9B1174" w:rsidRPr="0067165C" w:rsidRDefault="009B1174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c>
            </w:tr>
            <w:tr w:rsidR="009B1174" w:rsidTr="00B25F34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9B1174" w:rsidRDefault="009B1174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9B1174" w:rsidRPr="00776819" w:rsidRDefault="009B1174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B1174" w:rsidRPr="003308AB" w:rsidRDefault="009B1174" w:rsidP="00B25F34">
                  <w:pPr>
                    <w:ind w:firstLine="0"/>
                    <w:jc w:val="center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20+ε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9B1174" w:rsidRPr="00776819" w:rsidRDefault="00E136D4" w:rsidP="00E136D4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30</m:t>
                      </m:r>
                    </m:oMath>
                  </m:oMathPara>
                </w:p>
              </w:tc>
            </w:tr>
            <w:tr w:rsidR="009B1174" w:rsidTr="00B25F34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9B1174" w:rsidRPr="004A0761" w:rsidRDefault="00F10D4E" w:rsidP="00B25F34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9B1174" w:rsidRDefault="009B1174" w:rsidP="00B25F34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9B1174" w:rsidRPr="0000501B" w:rsidRDefault="009B1174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15+</m:t>
                      </m:r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9B1174" w:rsidRDefault="009B1174" w:rsidP="00B25F34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5-ε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9B1174" w:rsidRPr="00776819" w:rsidRDefault="009B1174" w:rsidP="00B25F34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</w:tbl>
          <w:p w:rsidR="009B1174" w:rsidRDefault="009B1174" w:rsidP="00B25F34">
            <w:pPr>
              <w:pStyle w:val="a3"/>
              <w:ind w:left="0" w:firstLine="0"/>
              <w:jc w:val="center"/>
            </w:pPr>
          </w:p>
        </w:tc>
      </w:tr>
    </w:tbl>
    <w:p w:rsidR="00E412C8" w:rsidRDefault="009B1174" w:rsidP="00373562">
      <w:pPr>
        <w:pStyle w:val="a3"/>
        <w:ind w:left="76" w:firstLine="0"/>
      </w:pPr>
      <w:r>
        <w:t>Переходимо до пункту 2 алгоритму.</w:t>
      </w:r>
    </w:p>
    <w:p w:rsidR="009B1174" w:rsidRPr="0067165C" w:rsidRDefault="009B1174" w:rsidP="009B1174">
      <w:pPr>
        <w:pStyle w:val="1"/>
        <w:spacing w:before="120"/>
      </w:pPr>
      <w:r w:rsidRPr="0067165C">
        <w:t xml:space="preserve">Ітерація </w:t>
      </w:r>
      <w:r>
        <w:t>4</w:t>
      </w:r>
    </w:p>
    <w:p w:rsidR="009B1174" w:rsidRPr="00843D20" w:rsidRDefault="009B1174" w:rsidP="009B1174">
      <w:pPr>
        <w:pStyle w:val="a3"/>
        <w:numPr>
          <w:ilvl w:val="0"/>
          <w:numId w:val="6"/>
        </w:numPr>
      </w:pPr>
      <w:r>
        <w:rPr>
          <w:lang w:val="ru-RU"/>
        </w:rPr>
        <w:t xml:space="preserve">Для </w:t>
      </w:r>
      <w:r>
        <w:t xml:space="preserve">базисних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43D2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будуємо систему </w:t>
      </w:r>
      <w:proofErr w:type="gramStart"/>
      <w:r>
        <w:rPr>
          <w:rFonts w:eastAsiaTheme="minorEastAsia"/>
        </w:rPr>
        <w:t>р</w:t>
      </w:r>
      <w:proofErr w:type="gramEnd"/>
      <w:r>
        <w:rPr>
          <w:rFonts w:eastAsiaTheme="minorEastAsia"/>
        </w:rPr>
        <w:t xml:space="preserve">івнянь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9B1174" w:rsidRPr="00843D20" w:rsidRDefault="00F10D4E" w:rsidP="009B1174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-4=0</m:t>
                  </m:r>
                </m:e>
              </m:eqArr>
            </m:e>
          </m:d>
        </m:oMath>
      </m:oMathPara>
    </w:p>
    <w:p w:rsidR="009B1174" w:rsidRPr="00843D20" w:rsidRDefault="009B1174" w:rsidP="009B1174">
      <w:pPr>
        <w:pStyle w:val="a3"/>
        <w:numPr>
          <w:ilvl w:val="0"/>
          <w:numId w:val="6"/>
        </w:numPr>
        <w:rPr>
          <w:lang w:val="ru-RU"/>
        </w:rPr>
      </w:pPr>
      <w:r>
        <w:rPr>
          <w:rFonts w:eastAsiaTheme="minorEastAsia"/>
        </w:rPr>
        <w:t xml:space="preserve">Розв’язуємо систему відносно двоїстих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, </w:t>
      </w:r>
      <w:r w:rsidRPr="00843D20">
        <w:rPr>
          <w:rFonts w:eastAsiaTheme="minorEastAsia"/>
        </w:rPr>
        <w:t>прийнявши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9B1174" w:rsidRPr="00354A33" w:rsidRDefault="00F10D4E" w:rsidP="009B1174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</m:e>
              </m:eqArr>
            </m:e>
          </m:d>
        </m:oMath>
      </m:oMathPara>
    </w:p>
    <w:p w:rsidR="009B1174" w:rsidRPr="00ED6F32" w:rsidRDefault="009B1174" w:rsidP="009B1174">
      <w:pPr>
        <w:pStyle w:val="a3"/>
        <w:numPr>
          <w:ilvl w:val="0"/>
          <w:numId w:val="6"/>
        </w:numPr>
        <w:rPr>
          <w:lang w:val="ru-RU"/>
        </w:rPr>
      </w:pPr>
      <w:r>
        <w:rPr>
          <w:rFonts w:eastAsiaTheme="minorEastAsia"/>
        </w:rPr>
        <w:t xml:space="preserve">Підставляємо знайдені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354A33">
        <w:rPr>
          <w:rFonts w:eastAsiaTheme="minorEastAsia"/>
        </w:rPr>
        <w:t>в другу умову оптимальності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lang w:val="ru-RU"/>
        </w:rPr>
        <w:t>:</w:t>
      </w:r>
    </w:p>
    <w:p w:rsidR="009B1174" w:rsidRPr="00C54CFE" w:rsidRDefault="00F10D4E" w:rsidP="009B1174">
      <w:pPr>
        <w:pStyle w:val="a3"/>
        <w:ind w:left="76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=1-0-8=-7≤0</m:t>
          </m:r>
        </m:oMath>
      </m:oMathPara>
    </w:p>
    <w:p w:rsidR="009B1174" w:rsidRPr="00E526D1" w:rsidRDefault="00F10D4E" w:rsidP="009B1174">
      <w:pPr>
        <w:pStyle w:val="a3"/>
        <w:ind w:left="76" w:firstLine="0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-2-0-3=-5≤0</m:t>
          </m:r>
        </m:oMath>
      </m:oMathPara>
    </w:p>
    <w:p w:rsidR="009B1174" w:rsidRPr="00C54CFE" w:rsidRDefault="00F10D4E" w:rsidP="009B1174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-4=0≤0</m:t>
          </m:r>
        </m:oMath>
      </m:oMathPara>
    </w:p>
    <w:p w:rsidR="009B1174" w:rsidRPr="00E526D1" w:rsidRDefault="00F10D4E" w:rsidP="009B1174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-5=-2≤0</m:t>
          </m:r>
        </m:oMath>
      </m:oMathPara>
    </w:p>
    <w:p w:rsidR="009B1174" w:rsidRPr="00E526D1" w:rsidRDefault="00F10D4E" w:rsidP="009B1174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-7=-3≤0</m:t>
          </m:r>
        </m:oMath>
      </m:oMathPara>
    </w:p>
    <w:p w:rsidR="009B1174" w:rsidRPr="00E526D1" w:rsidRDefault="00F10D4E" w:rsidP="009B1174">
      <w:pPr>
        <w:pStyle w:val="a3"/>
        <w:ind w:left="76" w:firstLine="0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eastAsiaTheme="minorEastAsia" w:hAnsi="Cambria Math"/>
            </w:rPr>
            <m:t>2-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-4=-4≤0</m:t>
          </m:r>
        </m:oMath>
      </m:oMathPara>
    </w:p>
    <w:p w:rsidR="00E136D4" w:rsidRPr="00E136D4" w:rsidRDefault="009B1174" w:rsidP="009B1174">
      <w:pPr>
        <w:pStyle w:val="a3"/>
        <w:ind w:left="76" w:firstLine="0"/>
        <w:rPr>
          <w:rFonts w:eastAsiaTheme="minorEastAsia"/>
        </w:rPr>
      </w:pPr>
      <w:r>
        <w:rPr>
          <w:rFonts w:eastAsiaTheme="minorEastAsia"/>
        </w:rPr>
        <w:t>Умова виконується для всіх небазисних змінних, тому отриманий розв’язок є оптимальним.</w:t>
      </w:r>
      <w:r w:rsidR="00E136D4" w:rsidRPr="00E136D4">
        <w:rPr>
          <w:rFonts w:eastAsiaTheme="minorEastAsia"/>
          <w:lang w:val="ru-RU"/>
        </w:rPr>
        <w:t xml:space="preserve"> </w:t>
      </w:r>
      <w:r w:rsidR="00E136D4">
        <w:rPr>
          <w:rFonts w:eastAsiaTheme="minorEastAsia"/>
        </w:rPr>
        <w:t xml:space="preserve">Замінивши </w:t>
      </w:r>
      <m:oMath>
        <m:r>
          <w:rPr>
            <w:rFonts w:ascii="Cambria Math" w:eastAsiaTheme="minorEastAsia" w:hAnsi="Cambria Math"/>
          </w:rPr>
          <m:t>ε</m:t>
        </m:r>
      </m:oMath>
      <w:r w:rsidR="00E136D4">
        <w:rPr>
          <w:rFonts w:eastAsiaTheme="minorEastAsia"/>
        </w:rPr>
        <w:t xml:space="preserve"> на нуль, отримаємо остаточний оптимальний план: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509"/>
        <w:gridCol w:w="527"/>
        <w:gridCol w:w="527"/>
        <w:gridCol w:w="527"/>
      </w:tblGrid>
      <w:tr w:rsidR="00E136D4" w:rsidTr="00B25F34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136D4" w:rsidRPr="002D5B63" w:rsidRDefault="00E136D4" w:rsidP="00B25F34">
            <w:pPr>
              <w:ind w:firstLine="0"/>
              <w:jc w:val="center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E136D4" w:rsidRPr="004A0761" w:rsidRDefault="00F10D4E" w:rsidP="00B25F34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E136D4" w:rsidRPr="004A0761" w:rsidRDefault="00F10D4E" w:rsidP="00B25F34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:rsidR="00E136D4" w:rsidRPr="004A0761" w:rsidRDefault="00F10D4E" w:rsidP="00B25F34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E136D4" w:rsidRPr="004A0761" w:rsidRDefault="00F10D4E" w:rsidP="00B25F34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136D4" w:rsidTr="00B25F34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136D4" w:rsidRPr="004A0761" w:rsidRDefault="00F10D4E" w:rsidP="00B25F34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E136D4" w:rsidRPr="00373562" w:rsidRDefault="00E136D4" w:rsidP="00B25F34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E136D4" w:rsidRPr="00373562" w:rsidRDefault="00E136D4" w:rsidP="00B25F34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E136D4" w:rsidRPr="003308AB" w:rsidRDefault="00E136D4" w:rsidP="00B25F3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136D4" w:rsidRPr="0067165C" w:rsidRDefault="00E136D4" w:rsidP="00B25F34">
            <w:pPr>
              <w:ind w:firstLine="0"/>
              <w:jc w:val="center"/>
              <w:rPr>
                <w:lang w:val="en-US"/>
              </w:rPr>
            </w:pPr>
          </w:p>
        </w:tc>
      </w:tr>
      <w:tr w:rsidR="00E136D4" w:rsidTr="00B25F34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E136D4" w:rsidRPr="004A0761" w:rsidRDefault="00F10D4E" w:rsidP="00B25F34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E136D4" w:rsidRDefault="00E136D4" w:rsidP="00B25F34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:rsidR="00E136D4" w:rsidRPr="00776819" w:rsidRDefault="00E136D4" w:rsidP="00B25F3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E136D4" w:rsidRPr="003308AB" w:rsidRDefault="00E136D4" w:rsidP="00E136D4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:rsidR="00E136D4" w:rsidRPr="00776819" w:rsidRDefault="00E136D4" w:rsidP="00B25F34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</w:tr>
      <w:tr w:rsidR="00E136D4" w:rsidTr="00B25F34">
        <w:trPr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E136D4" w:rsidRPr="004A0761" w:rsidRDefault="00F10D4E" w:rsidP="00B25F34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136D4" w:rsidRDefault="00E136D4" w:rsidP="00B25F34">
            <w:pPr>
              <w:ind w:firstLine="0"/>
              <w:jc w:val="center"/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136D4" w:rsidRPr="0000501B" w:rsidRDefault="00E136D4" w:rsidP="00E136D4">
            <w:pPr>
              <w:ind w:firstLine="0"/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E136D4" w:rsidRDefault="00E136D4" w:rsidP="00E136D4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136D4" w:rsidRPr="00776819" w:rsidRDefault="00E136D4" w:rsidP="00B25F34">
            <w:pPr>
              <w:ind w:firstLine="0"/>
              <w:jc w:val="center"/>
              <w:rPr>
                <w:lang w:val="ru-RU"/>
              </w:rPr>
            </w:pPr>
          </w:p>
        </w:tc>
      </w:tr>
    </w:tbl>
    <w:p w:rsidR="00E136D4" w:rsidRPr="003328AD" w:rsidRDefault="00E136D4" w:rsidP="00E136D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Загальна вартість перевезень: </w:t>
      </w:r>
    </w:p>
    <w:p w:rsidR="00E136D4" w:rsidRPr="003328AD" w:rsidRDefault="00E136D4" w:rsidP="00E136D4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1*15+2*15+5*20+1*30+3*15+4*5=240</m:t>
          </m:r>
        </m:oMath>
      </m:oMathPara>
    </w:p>
    <w:p w:rsidR="009B1174" w:rsidRDefault="009B1174" w:rsidP="009B1174">
      <w:pPr>
        <w:pStyle w:val="a3"/>
        <w:ind w:left="76" w:firstLine="0"/>
        <w:rPr>
          <w:rFonts w:eastAsiaTheme="minorEastAsia"/>
        </w:rPr>
      </w:pPr>
    </w:p>
    <w:p w:rsidR="009B1174" w:rsidRPr="009B1174" w:rsidRDefault="00E136D4" w:rsidP="00373562">
      <w:pPr>
        <w:pStyle w:val="a3"/>
        <w:ind w:left="76" w:firstLine="0"/>
      </w:pPr>
      <w:r>
        <w:rPr>
          <w:rFonts w:eastAsiaTheme="minorEastAsia"/>
        </w:rPr>
        <w:t xml:space="preserve">Початкові базисні розв’язки, знайдені методом найменшої вартості та методом </w:t>
      </w:r>
      <w:proofErr w:type="spellStart"/>
      <w:r>
        <w:rPr>
          <w:rFonts w:eastAsiaTheme="minorEastAsia"/>
        </w:rPr>
        <w:t>Фогеля</w:t>
      </w:r>
      <w:proofErr w:type="spellEnd"/>
      <w:r>
        <w:rPr>
          <w:rFonts w:eastAsiaTheme="minorEastAsia"/>
        </w:rPr>
        <w:t xml:space="preserve"> (штрафів), ідентичні отриманому </w:t>
      </w:r>
      <w:r w:rsidR="007152F2">
        <w:rPr>
          <w:rFonts w:eastAsiaTheme="minorEastAsia"/>
        </w:rPr>
        <w:t xml:space="preserve">вище </w:t>
      </w:r>
      <w:r>
        <w:rPr>
          <w:rFonts w:eastAsiaTheme="minorEastAsia"/>
        </w:rPr>
        <w:t xml:space="preserve">оптимальному розв’язку за допомогою методу потенціалів. Це означає, що метод найменшої вартості та метод </w:t>
      </w:r>
      <w:proofErr w:type="spellStart"/>
      <w:r>
        <w:rPr>
          <w:rFonts w:eastAsiaTheme="minorEastAsia"/>
        </w:rPr>
        <w:t>Фогеля</w:t>
      </w:r>
      <w:proofErr w:type="spellEnd"/>
      <w:r>
        <w:rPr>
          <w:rFonts w:eastAsiaTheme="minorEastAsia"/>
        </w:rPr>
        <w:t xml:space="preserve"> одразу дали </w:t>
      </w:r>
      <w:r w:rsidR="006E3872">
        <w:rPr>
          <w:rFonts w:eastAsiaTheme="minorEastAsia"/>
        </w:rPr>
        <w:t>о</w:t>
      </w:r>
      <w:r>
        <w:rPr>
          <w:rFonts w:eastAsiaTheme="minorEastAsia"/>
        </w:rPr>
        <w:t xml:space="preserve">птимальний розв’язок у якості </w:t>
      </w:r>
      <w:r w:rsidR="006E3872">
        <w:rPr>
          <w:rFonts w:eastAsiaTheme="minorEastAsia"/>
        </w:rPr>
        <w:t xml:space="preserve">допустимого </w:t>
      </w:r>
      <w:r>
        <w:rPr>
          <w:rFonts w:eastAsiaTheme="minorEastAsia"/>
        </w:rPr>
        <w:t xml:space="preserve">початкового базисного, що є емпіричною демонстрацією вищої їх ефективності </w:t>
      </w:r>
      <w:r w:rsidR="007152F2">
        <w:rPr>
          <w:rFonts w:eastAsiaTheme="minorEastAsia"/>
        </w:rPr>
        <w:t>пошуку опорного плану у порівнянні з методом північно-західного кута.</w:t>
      </w:r>
    </w:p>
    <w:sectPr w:rsidR="009B1174" w:rsidRPr="009B1174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D4E" w:rsidRDefault="00F10D4E" w:rsidP="00667B62">
      <w:pPr>
        <w:spacing w:line="240" w:lineRule="auto"/>
      </w:pPr>
      <w:r>
        <w:separator/>
      </w:r>
    </w:p>
  </w:endnote>
  <w:endnote w:type="continuationSeparator" w:id="0">
    <w:p w:rsidR="00F10D4E" w:rsidRDefault="00F10D4E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E412C8" w:rsidRPr="00667B62" w:rsidRDefault="00E412C8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 w:rsidR="00717906">
          <w:rPr>
            <w:sz w:val="18"/>
            <w:szCs w:val="18"/>
          </w:rPr>
          <w:t>2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0D7FA8">
          <w:rPr>
            <w:rFonts w:cs="Times New Roman"/>
            <w:noProof/>
            <w:sz w:val="18"/>
            <w:szCs w:val="18"/>
          </w:rPr>
          <w:t>5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D4E" w:rsidRDefault="00F10D4E" w:rsidP="00667B62">
      <w:pPr>
        <w:spacing w:line="240" w:lineRule="auto"/>
      </w:pPr>
      <w:r>
        <w:separator/>
      </w:r>
    </w:p>
  </w:footnote>
  <w:footnote w:type="continuationSeparator" w:id="0">
    <w:p w:rsidR="00F10D4E" w:rsidRDefault="00F10D4E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C8" w:rsidRPr="00197ADB" w:rsidRDefault="00E412C8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E412C8" w:rsidRPr="00D05598" w:rsidRDefault="00E412C8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15FF"/>
    <w:multiLevelType w:val="hybridMultilevel"/>
    <w:tmpl w:val="30BE3F2A"/>
    <w:lvl w:ilvl="0" w:tplc="C2CCB45A">
      <w:start w:val="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318C8"/>
    <w:multiLevelType w:val="hybridMultilevel"/>
    <w:tmpl w:val="30BE3F2A"/>
    <w:lvl w:ilvl="0" w:tplc="C2CCB45A">
      <w:start w:val="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2974D2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0501B"/>
    <w:rsid w:val="000521B9"/>
    <w:rsid w:val="00086E44"/>
    <w:rsid w:val="0008754C"/>
    <w:rsid w:val="00087619"/>
    <w:rsid w:val="0009502C"/>
    <w:rsid w:val="000A2FF0"/>
    <w:rsid w:val="000D7FA8"/>
    <w:rsid w:val="000E4A42"/>
    <w:rsid w:val="000E4BC6"/>
    <w:rsid w:val="000F3F03"/>
    <w:rsid w:val="000F76FC"/>
    <w:rsid w:val="00130F69"/>
    <w:rsid w:val="00150F8D"/>
    <w:rsid w:val="00176C05"/>
    <w:rsid w:val="00197ADB"/>
    <w:rsid w:val="00197C1C"/>
    <w:rsid w:val="001B3217"/>
    <w:rsid w:val="001B43F8"/>
    <w:rsid w:val="001B561B"/>
    <w:rsid w:val="001B69AE"/>
    <w:rsid w:val="001B6A8A"/>
    <w:rsid w:val="001C1BF1"/>
    <w:rsid w:val="001E6AF8"/>
    <w:rsid w:val="001F7993"/>
    <w:rsid w:val="00255883"/>
    <w:rsid w:val="002738B2"/>
    <w:rsid w:val="00295432"/>
    <w:rsid w:val="002A2F6B"/>
    <w:rsid w:val="002A6849"/>
    <w:rsid w:val="002D5B63"/>
    <w:rsid w:val="002E0BA7"/>
    <w:rsid w:val="00302A4F"/>
    <w:rsid w:val="0031786A"/>
    <w:rsid w:val="003308AB"/>
    <w:rsid w:val="003328AD"/>
    <w:rsid w:val="003342B2"/>
    <w:rsid w:val="003371DF"/>
    <w:rsid w:val="00354A33"/>
    <w:rsid w:val="0035756F"/>
    <w:rsid w:val="00372959"/>
    <w:rsid w:val="00373562"/>
    <w:rsid w:val="00377592"/>
    <w:rsid w:val="0038071C"/>
    <w:rsid w:val="003955AA"/>
    <w:rsid w:val="003D7A21"/>
    <w:rsid w:val="00404BC1"/>
    <w:rsid w:val="00404F1B"/>
    <w:rsid w:val="00420EE1"/>
    <w:rsid w:val="00451FE8"/>
    <w:rsid w:val="00452C6A"/>
    <w:rsid w:val="00454880"/>
    <w:rsid w:val="004557EA"/>
    <w:rsid w:val="00463002"/>
    <w:rsid w:val="004910C4"/>
    <w:rsid w:val="004A0761"/>
    <w:rsid w:val="004B132A"/>
    <w:rsid w:val="004E1F13"/>
    <w:rsid w:val="004E306C"/>
    <w:rsid w:val="00514072"/>
    <w:rsid w:val="0052606B"/>
    <w:rsid w:val="00531377"/>
    <w:rsid w:val="00535CE9"/>
    <w:rsid w:val="00580876"/>
    <w:rsid w:val="00593088"/>
    <w:rsid w:val="005B788E"/>
    <w:rsid w:val="005D6425"/>
    <w:rsid w:val="006014DE"/>
    <w:rsid w:val="00603C65"/>
    <w:rsid w:val="006051C6"/>
    <w:rsid w:val="00615325"/>
    <w:rsid w:val="00622320"/>
    <w:rsid w:val="00631600"/>
    <w:rsid w:val="00633676"/>
    <w:rsid w:val="006415DE"/>
    <w:rsid w:val="00641E73"/>
    <w:rsid w:val="00645A83"/>
    <w:rsid w:val="00651FF9"/>
    <w:rsid w:val="00667B62"/>
    <w:rsid w:val="0067165C"/>
    <w:rsid w:val="00673DD2"/>
    <w:rsid w:val="0068371D"/>
    <w:rsid w:val="006A1CD1"/>
    <w:rsid w:val="006A334F"/>
    <w:rsid w:val="006B588D"/>
    <w:rsid w:val="006B6DC8"/>
    <w:rsid w:val="006C3355"/>
    <w:rsid w:val="006C4E2F"/>
    <w:rsid w:val="006D1937"/>
    <w:rsid w:val="006E34C9"/>
    <w:rsid w:val="006E3872"/>
    <w:rsid w:val="006F158C"/>
    <w:rsid w:val="007152F2"/>
    <w:rsid w:val="00717906"/>
    <w:rsid w:val="00725947"/>
    <w:rsid w:val="00731D52"/>
    <w:rsid w:val="00732A57"/>
    <w:rsid w:val="00753072"/>
    <w:rsid w:val="00776819"/>
    <w:rsid w:val="007B76E1"/>
    <w:rsid w:val="007B7916"/>
    <w:rsid w:val="007F5B8A"/>
    <w:rsid w:val="00811248"/>
    <w:rsid w:val="00814F9A"/>
    <w:rsid w:val="00822165"/>
    <w:rsid w:val="00825DEE"/>
    <w:rsid w:val="0083011C"/>
    <w:rsid w:val="00843D20"/>
    <w:rsid w:val="00857CFC"/>
    <w:rsid w:val="00883C3D"/>
    <w:rsid w:val="00892D0F"/>
    <w:rsid w:val="008B1545"/>
    <w:rsid w:val="008D30A7"/>
    <w:rsid w:val="008F2B1F"/>
    <w:rsid w:val="008F7126"/>
    <w:rsid w:val="009041F2"/>
    <w:rsid w:val="00907920"/>
    <w:rsid w:val="009431DC"/>
    <w:rsid w:val="00950D1C"/>
    <w:rsid w:val="0095393F"/>
    <w:rsid w:val="00956407"/>
    <w:rsid w:val="009644DA"/>
    <w:rsid w:val="00964D7F"/>
    <w:rsid w:val="009676A5"/>
    <w:rsid w:val="009732D5"/>
    <w:rsid w:val="00983EAA"/>
    <w:rsid w:val="00997F95"/>
    <w:rsid w:val="009A7350"/>
    <w:rsid w:val="009B1174"/>
    <w:rsid w:val="009D01CE"/>
    <w:rsid w:val="009D0ED3"/>
    <w:rsid w:val="009D56DD"/>
    <w:rsid w:val="009D61C0"/>
    <w:rsid w:val="009E5ED8"/>
    <w:rsid w:val="00A00563"/>
    <w:rsid w:val="00A00EBE"/>
    <w:rsid w:val="00A24A14"/>
    <w:rsid w:val="00A502C5"/>
    <w:rsid w:val="00A6432B"/>
    <w:rsid w:val="00AB572B"/>
    <w:rsid w:val="00AB7A21"/>
    <w:rsid w:val="00AC18C8"/>
    <w:rsid w:val="00B01727"/>
    <w:rsid w:val="00B070FF"/>
    <w:rsid w:val="00B42C98"/>
    <w:rsid w:val="00B44A2F"/>
    <w:rsid w:val="00B52E15"/>
    <w:rsid w:val="00B76331"/>
    <w:rsid w:val="00B765A7"/>
    <w:rsid w:val="00B85E80"/>
    <w:rsid w:val="00B860E1"/>
    <w:rsid w:val="00B9334D"/>
    <w:rsid w:val="00BA79B9"/>
    <w:rsid w:val="00BB2824"/>
    <w:rsid w:val="00BE4ADD"/>
    <w:rsid w:val="00BE7EB8"/>
    <w:rsid w:val="00BF1B98"/>
    <w:rsid w:val="00BF303D"/>
    <w:rsid w:val="00C0048A"/>
    <w:rsid w:val="00C54CFE"/>
    <w:rsid w:val="00C90742"/>
    <w:rsid w:val="00C925A3"/>
    <w:rsid w:val="00C92FD1"/>
    <w:rsid w:val="00CA41EF"/>
    <w:rsid w:val="00CB5EF3"/>
    <w:rsid w:val="00CB62ED"/>
    <w:rsid w:val="00CD3A18"/>
    <w:rsid w:val="00CE1C8D"/>
    <w:rsid w:val="00D01D4B"/>
    <w:rsid w:val="00D05598"/>
    <w:rsid w:val="00D07EEC"/>
    <w:rsid w:val="00D10311"/>
    <w:rsid w:val="00D14AA7"/>
    <w:rsid w:val="00D33793"/>
    <w:rsid w:val="00D3626C"/>
    <w:rsid w:val="00D36B98"/>
    <w:rsid w:val="00D42787"/>
    <w:rsid w:val="00D47DF7"/>
    <w:rsid w:val="00D53AC5"/>
    <w:rsid w:val="00D604DF"/>
    <w:rsid w:val="00D619EA"/>
    <w:rsid w:val="00D74F1C"/>
    <w:rsid w:val="00D82CEE"/>
    <w:rsid w:val="00D862E2"/>
    <w:rsid w:val="00D978A0"/>
    <w:rsid w:val="00DA62AE"/>
    <w:rsid w:val="00DD2CD9"/>
    <w:rsid w:val="00DD5F85"/>
    <w:rsid w:val="00DE1172"/>
    <w:rsid w:val="00DE47A9"/>
    <w:rsid w:val="00DF1F0A"/>
    <w:rsid w:val="00DF5CC4"/>
    <w:rsid w:val="00DF7243"/>
    <w:rsid w:val="00E136D4"/>
    <w:rsid w:val="00E165FB"/>
    <w:rsid w:val="00E412C8"/>
    <w:rsid w:val="00E526D1"/>
    <w:rsid w:val="00E55E6A"/>
    <w:rsid w:val="00E67272"/>
    <w:rsid w:val="00E751CF"/>
    <w:rsid w:val="00E92207"/>
    <w:rsid w:val="00E949FD"/>
    <w:rsid w:val="00E96BA3"/>
    <w:rsid w:val="00EA3098"/>
    <w:rsid w:val="00ED6F32"/>
    <w:rsid w:val="00EE7D6B"/>
    <w:rsid w:val="00F10D4E"/>
    <w:rsid w:val="00F33CA6"/>
    <w:rsid w:val="00F36941"/>
    <w:rsid w:val="00F706B1"/>
    <w:rsid w:val="00F963AB"/>
    <w:rsid w:val="00FB11A5"/>
    <w:rsid w:val="00FB7986"/>
    <w:rsid w:val="00FC16E1"/>
    <w:rsid w:val="00FC3F80"/>
    <w:rsid w:val="00FD0F7F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7165C"/>
    <w:pPr>
      <w:keepNext/>
      <w:keepLines/>
      <w:spacing w:before="3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7165C"/>
    <w:rPr>
      <w:rFonts w:asciiTheme="majorHAnsi" w:eastAsiaTheme="majorEastAsia" w:hAnsiTheme="majorHAnsi" w:cstheme="majorBidi"/>
      <w:b/>
      <w:bCs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54DA-6D21-4854-B57A-74ECC2C1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3179</Words>
  <Characters>1813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49</cp:revision>
  <cp:lastPrinted>2011-09-17T17:04:00Z</cp:lastPrinted>
  <dcterms:created xsi:type="dcterms:W3CDTF">2010-08-03T12:07:00Z</dcterms:created>
  <dcterms:modified xsi:type="dcterms:W3CDTF">2011-10-01T13:22:00Z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