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4D35B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9C139F" w:rsidRPr="004D35BE">
              <w:rPr>
                <w:b/>
                <w:sz w:val="24"/>
                <w:szCs w:val="24"/>
              </w:rPr>
              <w:t>9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C33FB5">
              <w:rPr>
                <w:sz w:val="24"/>
                <w:szCs w:val="24"/>
                <w:u w:val="single"/>
              </w:rPr>
              <w:t>1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9C139F">
              <w:rPr>
                <w:sz w:val="24"/>
                <w:szCs w:val="24"/>
                <w:u w:val="single"/>
                <w:lang w:val="en-US"/>
              </w:rPr>
              <w:t>22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B54C41" w:rsidRDefault="00B54C41" w:rsidP="003955AA">
      <w:pPr>
        <w:ind w:firstLine="0"/>
        <w:jc w:val="center"/>
        <w:rPr>
          <w:b/>
          <w:lang w:val="en-US"/>
        </w:rPr>
      </w:pPr>
    </w:p>
    <w:p w:rsidR="00DF7243" w:rsidRPr="00571F74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E95C5F" w:rsidRPr="00571F74" w:rsidRDefault="000536FA" w:rsidP="00571F74">
      <w:pPr>
        <w:ind w:firstLine="0"/>
      </w:pPr>
      <w:r w:rsidRPr="00571F74">
        <w:t>Розв’язати</w:t>
      </w:r>
      <w:r w:rsidR="0092719F" w:rsidRPr="00571F74">
        <w:t xml:space="preserve"> </w:t>
      </w:r>
      <w:r w:rsidR="006B598C" w:rsidRPr="00571F74">
        <w:t>задачу</w:t>
      </w:r>
      <w:r w:rsidR="0092719F" w:rsidRPr="00571F74">
        <w:t>,</w:t>
      </w:r>
      <w:r w:rsidR="006B598C" w:rsidRPr="00571F74">
        <w:t xml:space="preserve"> задану за варіантом, </w:t>
      </w:r>
      <w:r w:rsidR="009C139F">
        <w:t>аналітичним</w:t>
      </w:r>
      <w:r w:rsidR="00571F74" w:rsidRPr="00571F74">
        <w:t xml:space="preserve"> способом:</w:t>
      </w:r>
    </w:p>
    <w:p w:rsidR="00571F74" w:rsidRPr="00571F74" w:rsidRDefault="00571F74" w:rsidP="00571F74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→min</m:t>
          </m:r>
        </m:oMath>
      </m:oMathPara>
    </w:p>
    <w:p w:rsidR="00571F74" w:rsidRPr="00E91560" w:rsidRDefault="007D7204" w:rsidP="00571F74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</m:t>
                  </m:r>
                </m:e>
              </m:eqArr>
            </m:e>
          </m:d>
        </m:oMath>
      </m:oMathPara>
    </w:p>
    <w:p w:rsidR="00E91560" w:rsidRDefault="00E91560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t>Введемо балансові змінні:</w:t>
      </w:r>
    </w:p>
    <w:p w:rsidR="00E91560" w:rsidRPr="00E91560" w:rsidRDefault="007D7204" w:rsidP="00571F74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≥0 </m:t>
                  </m:r>
                </m:e>
              </m:eqArr>
            </m:e>
          </m:d>
        </m:oMath>
      </m:oMathPara>
    </w:p>
    <w:p w:rsidR="00571F74" w:rsidRDefault="00B30860" w:rsidP="00571F74">
      <w:pPr>
        <w:ind w:firstLine="0"/>
        <w:rPr>
          <w:rFonts w:eastAsiaTheme="minorEastAsia"/>
        </w:rPr>
      </w:pPr>
      <w:r>
        <w:rPr>
          <w:rFonts w:eastAsiaTheme="minorEastAsia"/>
        </w:rPr>
        <w:t>Нехай</w:t>
      </w:r>
    </w:p>
    <w:p w:rsidR="007D21F2" w:rsidRPr="00E91560" w:rsidRDefault="007D7204" w:rsidP="007D21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E91560" w:rsidRPr="008A6720" w:rsidRDefault="007D7204" w:rsidP="007D21F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8A6720" w:rsidRPr="007D21F2" w:rsidRDefault="008A6720" w:rsidP="008A672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:rsidR="008A6720" w:rsidRDefault="008A6720" w:rsidP="008A6720">
      <w:pPr>
        <w:rPr>
          <w:rFonts w:eastAsiaTheme="minorEastAsia"/>
        </w:rPr>
      </w:pPr>
    </w:p>
    <w:p w:rsidR="008A6720" w:rsidRDefault="008A6720" w:rsidP="008A67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Без врахування балансових змінних (для перевірки в </w:t>
      </w:r>
      <w:r>
        <w:rPr>
          <w:rFonts w:eastAsiaTheme="minorEastAsia"/>
          <w:lang w:val="en-US"/>
        </w:rPr>
        <w:t>MATLAB</w:t>
      </w:r>
      <w:r>
        <w:rPr>
          <w:rFonts w:eastAsiaTheme="minorEastAsia"/>
        </w:rPr>
        <w:t>):</w:t>
      </w:r>
    </w:p>
    <w:p w:rsidR="008A6720" w:rsidRPr="008A6720" w:rsidRDefault="007D7204" w:rsidP="008A672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</m:t>
                  </m:r>
                </m:e>
              </m:eqArr>
            </m:e>
          </m:d>
        </m:oMath>
      </m:oMathPara>
    </w:p>
    <w:p w:rsidR="008A6720" w:rsidRPr="008A6720" w:rsidRDefault="008A6720" w:rsidP="008A6720">
      <w:pPr>
        <w:rPr>
          <w:rFonts w:eastAsiaTheme="minorEastAsia"/>
        </w:rPr>
      </w:pPr>
    </w:p>
    <w:p w:rsidR="007D21F2" w:rsidRPr="007D21F2" w:rsidRDefault="007D7204" w:rsidP="008A672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</m:t>
                  </m:r>
                </m:e>
              </m:eqArr>
            </m:e>
          </m:d>
        </m:oMath>
      </m:oMathPara>
    </w:p>
    <w:p w:rsidR="007D21F2" w:rsidRPr="008A6720" w:rsidRDefault="008A6720" w:rsidP="008A6720">
      <w:pPr>
        <w:ind w:firstLine="708"/>
        <w:rPr>
          <w:rFonts w:eastAsiaTheme="minorEastAsia"/>
        </w:rPr>
      </w:pPr>
      <w:r>
        <w:rPr>
          <w:rFonts w:eastAsiaTheme="minorEastAsia"/>
        </w:rPr>
        <w:t>З урахуванням балансових змінних:</w:t>
      </w:r>
    </w:p>
    <w:p w:rsidR="007D21F2" w:rsidRPr="00DB7ED7" w:rsidRDefault="007D7204" w:rsidP="007D21F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≥0 </m:t>
                  </m:r>
                </m:e>
              </m:eqArr>
            </m:e>
          </m:d>
        </m:oMath>
      </m:oMathPara>
    </w:p>
    <w:p w:rsidR="00DB7ED7" w:rsidRPr="004D35BE" w:rsidRDefault="00C634CB" w:rsidP="007D21F2">
      <w:pPr>
        <w:rPr>
          <w:rFonts w:eastAsiaTheme="minorEastAsia"/>
          <w:lang w:val="ru-RU"/>
        </w:rPr>
      </w:pPr>
      <w:r>
        <w:rPr>
          <w:rFonts w:eastAsiaTheme="minorEastAsia"/>
        </w:rPr>
        <w:t>Пр</w:t>
      </w:r>
      <w:r w:rsidR="007A270F">
        <w:rPr>
          <w:rFonts w:eastAsiaTheme="minorEastAsia"/>
        </w:rPr>
        <w:t>иведемо функцію та обмеження до вигляду</w:t>
      </w:r>
      <w:r>
        <w:rPr>
          <w:rFonts w:eastAsiaTheme="minorEastAsia"/>
        </w:rPr>
        <w:t>:</w:t>
      </w:r>
    </w:p>
    <w:p w:rsidR="00B36180" w:rsidRPr="009E0767" w:rsidRDefault="007D7204" w:rsidP="007D21F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=1-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9E0767" w:rsidRPr="004C0D46" w:rsidRDefault="009E0767" w:rsidP="009E07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C0D46" w:rsidRDefault="004452EA" w:rsidP="009E0767">
      <w:pPr>
        <w:rPr>
          <w:rFonts w:eastAsiaTheme="minorEastAsia"/>
        </w:rPr>
      </w:pPr>
      <w:r>
        <w:rPr>
          <w:rFonts w:eastAsiaTheme="minorEastAsia"/>
        </w:rPr>
        <w:t>Розв’яжемо задачу табличним симплекс-методом: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  <w:gridCol w:w="1829"/>
      </w:tblGrid>
      <w:tr w:rsidR="00A24867" w:rsidTr="00A24867">
        <w:trPr>
          <w:jc w:val="center"/>
        </w:trPr>
        <w:tc>
          <w:tcPr>
            <w:tcW w:w="2059" w:type="dxa"/>
          </w:tcPr>
          <w:p w:rsidR="00A24867" w:rsidRPr="00A24867" w:rsidRDefault="00A24867" w:rsidP="00241F5B">
            <w:pPr>
              <w:spacing w:line="240" w:lineRule="auto"/>
              <w:ind w:firstLine="0"/>
              <w:jc w:val="center"/>
            </w:pPr>
            <w:r>
              <w:t>Базисні змінні</w:t>
            </w:r>
          </w:p>
        </w:tc>
        <w:tc>
          <w:tcPr>
            <w:tcW w:w="2025" w:type="dxa"/>
          </w:tcPr>
          <w:p w:rsidR="00A24867" w:rsidRPr="00A24867" w:rsidRDefault="00A24867" w:rsidP="00241F5B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A24867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A24867" w:rsidRPr="00294DF7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A24867" w:rsidRPr="004C0D46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24867" w:rsidTr="00A24867">
        <w:trPr>
          <w:jc w:val="center"/>
        </w:trPr>
        <w:tc>
          <w:tcPr>
            <w:tcW w:w="2059" w:type="dxa"/>
          </w:tcPr>
          <w:p w:rsidR="00A24867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1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17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17</w:t>
            </w:r>
          </w:p>
        </w:tc>
        <w:tc>
          <w:tcPr>
            <w:tcW w:w="1829" w:type="dxa"/>
          </w:tcPr>
          <w:p w:rsidR="00A24867" w:rsidRPr="004C0D46" w:rsidRDefault="009E0767" w:rsidP="00241F5B">
            <w:pPr>
              <w:spacing w:line="240" w:lineRule="auto"/>
              <w:ind w:firstLine="0"/>
              <w:jc w:val="left"/>
            </w:pPr>
            <w:r w:rsidRPr="004C0D46">
              <w:t>–1</w:t>
            </w:r>
          </w:p>
          <w:p w:rsidR="00294DF7" w:rsidRPr="004C0D46" w:rsidRDefault="00294DF7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4C0D46">
              <w:rPr>
                <w:b/>
              </w:rPr>
              <w:t>1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 w:rsidRPr="00294DF7">
              <w:t>–3</w:t>
            </w:r>
          </w:p>
          <w:p w:rsidR="004C0D46" w:rsidRPr="00294DF7" w:rsidRDefault="004C0D46" w:rsidP="00241F5B">
            <w:pPr>
              <w:spacing w:line="240" w:lineRule="auto"/>
              <w:ind w:firstLine="0"/>
              <w:jc w:val="right"/>
            </w:pPr>
            <w:r>
              <w:t>2</w:t>
            </w:r>
          </w:p>
        </w:tc>
      </w:tr>
      <w:tr w:rsidR="00A24867" w:rsidTr="00A24867">
        <w:trPr>
          <w:jc w:val="center"/>
        </w:trPr>
        <w:tc>
          <w:tcPr>
            <w:tcW w:w="2059" w:type="dxa"/>
          </w:tcPr>
          <w:p w:rsidR="00A24867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–1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–10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–10</w:t>
            </w:r>
          </w:p>
        </w:tc>
        <w:tc>
          <w:tcPr>
            <w:tcW w:w="1829" w:type="dxa"/>
          </w:tcPr>
          <w:p w:rsidR="00A24867" w:rsidRPr="004C0D46" w:rsidRDefault="009E0767" w:rsidP="00241F5B">
            <w:pPr>
              <w:spacing w:line="240" w:lineRule="auto"/>
              <w:ind w:firstLine="0"/>
              <w:jc w:val="left"/>
            </w:pPr>
            <w:r w:rsidRPr="004C0D46">
              <w:t>1</w:t>
            </w:r>
          </w:p>
          <w:p w:rsidR="00294DF7" w:rsidRPr="004C0D46" w:rsidRDefault="00294DF7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4C0D46">
              <w:rPr>
                <w:b/>
              </w:rPr>
              <w:t>–1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 w:rsidRPr="00294DF7">
              <w:t>–1</w:t>
            </w:r>
          </w:p>
          <w:p w:rsidR="004C0D46" w:rsidRPr="00294DF7" w:rsidRDefault="004C0D46" w:rsidP="00241F5B">
            <w:pPr>
              <w:spacing w:line="240" w:lineRule="auto"/>
              <w:ind w:firstLine="0"/>
              <w:jc w:val="right"/>
            </w:pPr>
            <w:r>
              <w:t>–6</w:t>
            </w:r>
          </w:p>
        </w:tc>
      </w:tr>
      <w:tr w:rsidR="00A24867" w:rsidTr="00A24867">
        <w:trPr>
          <w:jc w:val="center"/>
        </w:trPr>
        <w:tc>
          <w:tcPr>
            <w:tcW w:w="2059" w:type="dxa"/>
          </w:tcPr>
          <w:p w:rsidR="00A24867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3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>
              <w:t>15</w:t>
            </w:r>
          </w:p>
          <w:p w:rsidR="004C0D46" w:rsidRPr="009E0767" w:rsidRDefault="004C0D46" w:rsidP="00241F5B">
            <w:pPr>
              <w:spacing w:line="240" w:lineRule="auto"/>
              <w:ind w:firstLine="0"/>
              <w:jc w:val="right"/>
            </w:pPr>
            <w:r>
              <w:t>15</w:t>
            </w:r>
          </w:p>
        </w:tc>
        <w:tc>
          <w:tcPr>
            <w:tcW w:w="1829" w:type="dxa"/>
          </w:tcPr>
          <w:p w:rsidR="00A24867" w:rsidRPr="004C0D46" w:rsidRDefault="009E0767" w:rsidP="00241F5B">
            <w:pPr>
              <w:spacing w:line="240" w:lineRule="auto"/>
              <w:ind w:firstLine="0"/>
              <w:jc w:val="left"/>
            </w:pPr>
            <w:r w:rsidRPr="004C0D46">
              <w:t>–3</w:t>
            </w:r>
          </w:p>
          <w:p w:rsidR="00294DF7" w:rsidRPr="004C0D46" w:rsidRDefault="00294DF7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4C0D46">
              <w:rPr>
                <w:b/>
              </w:rPr>
              <w:t>3</w:t>
            </w:r>
          </w:p>
        </w:tc>
        <w:tc>
          <w:tcPr>
            <w:tcW w:w="1829" w:type="dxa"/>
          </w:tcPr>
          <w:p w:rsidR="00A24867" w:rsidRDefault="009E0767" w:rsidP="00241F5B">
            <w:pPr>
              <w:spacing w:line="240" w:lineRule="auto"/>
              <w:ind w:firstLine="0"/>
              <w:jc w:val="left"/>
            </w:pPr>
            <w:r w:rsidRPr="00294DF7">
              <w:t>2</w:t>
            </w:r>
          </w:p>
          <w:p w:rsidR="004C0D46" w:rsidRPr="00294DF7" w:rsidRDefault="004C0D46" w:rsidP="00241F5B">
            <w:pPr>
              <w:spacing w:line="240" w:lineRule="auto"/>
              <w:ind w:firstLine="0"/>
              <w:jc w:val="right"/>
            </w:pPr>
            <w:r>
              <w:t>17</w:t>
            </w:r>
          </w:p>
        </w:tc>
      </w:tr>
      <w:tr w:rsidR="00A24867" w:rsidTr="00A24867">
        <w:trPr>
          <w:jc w:val="center"/>
        </w:trPr>
        <w:tc>
          <w:tcPr>
            <w:tcW w:w="2059" w:type="dxa"/>
          </w:tcPr>
          <w:p w:rsidR="00A24867" w:rsidRPr="00294DF7" w:rsidRDefault="004C0D46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2025" w:type="dxa"/>
          </w:tcPr>
          <w:p w:rsidR="00A24867" w:rsidRDefault="00A24867" w:rsidP="00241F5B">
            <w:pPr>
              <w:pBdr>
                <w:between w:val="single" w:sz="4" w:space="1" w:color="auto"/>
              </w:pBdr>
              <w:spacing w:line="240" w:lineRule="auto"/>
              <w:ind w:firstLine="0"/>
              <w:jc w:val="left"/>
              <w:rPr>
                <w:b/>
              </w:rPr>
            </w:pPr>
            <w:r w:rsidRPr="00294DF7">
              <w:rPr>
                <w:b/>
              </w:rPr>
              <w:t>1</w:t>
            </w:r>
          </w:p>
          <w:p w:rsidR="004C0D46" w:rsidRPr="004C0D46" w:rsidRDefault="004C0D46" w:rsidP="00241F5B">
            <w:pPr>
              <w:spacing w:line="240" w:lineRule="auto"/>
              <w:ind w:firstLine="0"/>
              <w:jc w:val="right"/>
            </w:pPr>
            <w:r w:rsidRPr="004C0D46">
              <w:t>1</w:t>
            </w:r>
          </w:p>
        </w:tc>
        <w:tc>
          <w:tcPr>
            <w:tcW w:w="1829" w:type="dxa"/>
          </w:tcPr>
          <w:p w:rsidR="00A24867" w:rsidRDefault="00A24867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294DF7">
              <w:rPr>
                <w:b/>
              </w:rPr>
              <w:t>0</w:t>
            </w:r>
          </w:p>
          <w:p w:rsidR="004C0D46" w:rsidRPr="004C0D46" w:rsidRDefault="004C0D46" w:rsidP="00241F5B">
            <w:pPr>
              <w:spacing w:line="240" w:lineRule="auto"/>
              <w:ind w:firstLine="0"/>
              <w:jc w:val="right"/>
            </w:pPr>
            <w:r w:rsidRPr="004C0D46">
              <w:t>0</w:t>
            </w:r>
          </w:p>
        </w:tc>
        <w:tc>
          <w:tcPr>
            <w:tcW w:w="1829" w:type="dxa"/>
          </w:tcPr>
          <w:p w:rsidR="00A24867" w:rsidRPr="004C0D46" w:rsidRDefault="00A24867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4C0D46">
              <w:rPr>
                <w:b/>
              </w:rPr>
              <w:t>1</w:t>
            </w:r>
          </w:p>
          <w:p w:rsidR="00294DF7" w:rsidRPr="004C0D46" w:rsidRDefault="00294DF7" w:rsidP="00241F5B">
            <w:pPr>
              <w:spacing w:line="240" w:lineRule="auto"/>
              <w:ind w:firstLine="0"/>
              <w:jc w:val="right"/>
            </w:pPr>
            <w:r w:rsidRPr="004C0D46">
              <w:t>1</w:t>
            </w:r>
          </w:p>
        </w:tc>
        <w:tc>
          <w:tcPr>
            <w:tcW w:w="1829" w:type="dxa"/>
          </w:tcPr>
          <w:p w:rsidR="00A24867" w:rsidRDefault="00A24867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294DF7">
              <w:rPr>
                <w:b/>
              </w:rPr>
              <w:t>5</w:t>
            </w:r>
          </w:p>
          <w:p w:rsidR="004C0D46" w:rsidRPr="004C0D46" w:rsidRDefault="004C0D46" w:rsidP="00241F5B">
            <w:pPr>
              <w:spacing w:line="240" w:lineRule="auto"/>
              <w:ind w:firstLine="0"/>
              <w:jc w:val="right"/>
            </w:pPr>
            <w:r w:rsidRPr="004C0D46">
              <w:t>5</w:t>
            </w:r>
          </w:p>
        </w:tc>
      </w:tr>
      <w:tr w:rsidR="00A24867" w:rsidTr="00A24867">
        <w:trPr>
          <w:jc w:val="center"/>
        </w:trPr>
        <w:tc>
          <w:tcPr>
            <w:tcW w:w="2059" w:type="dxa"/>
          </w:tcPr>
          <w:p w:rsidR="00A24867" w:rsidRDefault="004C0D46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2025" w:type="dxa"/>
          </w:tcPr>
          <w:p w:rsidR="00A24867" w:rsidRDefault="00A24867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A24867" w:rsidRDefault="004C0D46" w:rsidP="00241F5B">
            <w:pPr>
              <w:spacing w:line="240" w:lineRule="auto"/>
              <w:ind w:firstLine="0"/>
              <w:jc w:val="right"/>
            </w:pPr>
            <w:r>
              <w:t>2</w:t>
            </w:r>
          </w:p>
        </w:tc>
        <w:tc>
          <w:tcPr>
            <w:tcW w:w="1829" w:type="dxa"/>
          </w:tcPr>
          <w:p w:rsidR="00A24867" w:rsidRDefault="00A24867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A24867" w:rsidRDefault="004C0D46" w:rsidP="00241F5B">
            <w:pPr>
              <w:spacing w:line="240" w:lineRule="auto"/>
              <w:ind w:firstLine="0"/>
              <w:jc w:val="right"/>
            </w:pPr>
            <w:r>
              <w:t>0</w:t>
            </w:r>
          </w:p>
        </w:tc>
        <w:tc>
          <w:tcPr>
            <w:tcW w:w="1829" w:type="dxa"/>
          </w:tcPr>
          <w:p w:rsidR="00A24867" w:rsidRPr="004C0D46" w:rsidRDefault="00A24867" w:rsidP="00241F5B">
            <w:pPr>
              <w:spacing w:line="240" w:lineRule="auto"/>
              <w:ind w:firstLine="0"/>
              <w:jc w:val="left"/>
            </w:pPr>
            <w:r w:rsidRPr="004C0D46">
              <w:t>–2</w:t>
            </w:r>
          </w:p>
          <w:p w:rsidR="004C0D46" w:rsidRPr="004C0D46" w:rsidRDefault="004C0D46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4C0D46">
              <w:rPr>
                <w:b/>
              </w:rPr>
              <w:t>2</w:t>
            </w:r>
          </w:p>
        </w:tc>
        <w:tc>
          <w:tcPr>
            <w:tcW w:w="1829" w:type="dxa"/>
          </w:tcPr>
          <w:p w:rsidR="00A24867" w:rsidRDefault="00A24867" w:rsidP="00241F5B">
            <w:pPr>
              <w:spacing w:line="240" w:lineRule="auto"/>
              <w:ind w:firstLine="0"/>
              <w:jc w:val="left"/>
            </w:pPr>
            <w:r w:rsidRPr="00294DF7">
              <w:t>–3</w:t>
            </w:r>
          </w:p>
          <w:p w:rsidR="004C0D46" w:rsidRPr="00294DF7" w:rsidRDefault="004C0D46" w:rsidP="00241F5B">
            <w:pPr>
              <w:spacing w:line="240" w:lineRule="auto"/>
              <w:ind w:firstLine="0"/>
              <w:jc w:val="right"/>
            </w:pPr>
            <w:r>
              <w:t>7</w:t>
            </w:r>
          </w:p>
        </w:tc>
      </w:tr>
    </w:tbl>
    <w:p w:rsidR="00294DF7" w:rsidRDefault="00294DF7" w:rsidP="007D21F2"/>
    <w:p w:rsidR="007A270F" w:rsidRDefault="007A270F" w:rsidP="007D21F2">
      <w:bookmarkStart w:id="0" w:name="_GoBack"/>
      <w:bookmarkEnd w:id="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</w:tblGrid>
      <w:tr w:rsidR="004C0D46" w:rsidTr="00537BC6">
        <w:trPr>
          <w:jc w:val="center"/>
        </w:trPr>
        <w:tc>
          <w:tcPr>
            <w:tcW w:w="2059" w:type="dxa"/>
          </w:tcPr>
          <w:p w:rsidR="004C0D46" w:rsidRPr="00A24867" w:rsidRDefault="004C0D46" w:rsidP="00241F5B">
            <w:pPr>
              <w:spacing w:line="240" w:lineRule="auto"/>
              <w:ind w:firstLine="0"/>
              <w:jc w:val="center"/>
            </w:pPr>
            <w:r>
              <w:lastRenderedPageBreak/>
              <w:t>Базисні змінні</w:t>
            </w:r>
          </w:p>
        </w:tc>
        <w:tc>
          <w:tcPr>
            <w:tcW w:w="2025" w:type="dxa"/>
          </w:tcPr>
          <w:p w:rsidR="004C0D46" w:rsidRPr="00A24867" w:rsidRDefault="004C0D46" w:rsidP="00241F5B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4C0D46" w:rsidRPr="00AE78FC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4C0D46" w:rsidRPr="00AE78FC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0D46" w:rsidTr="00537BC6">
        <w:trPr>
          <w:jc w:val="center"/>
        </w:trPr>
        <w:tc>
          <w:tcPr>
            <w:tcW w:w="2059" w:type="dxa"/>
          </w:tcPr>
          <w:p w:rsidR="004C0D46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1</w:t>
            </w:r>
          </w:p>
          <w:p w:rsidR="004C0D46" w:rsidRPr="00AE78FC" w:rsidRDefault="00AE78FC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17</w:t>
            </w:r>
          </w:p>
          <w:p w:rsidR="004C0D46" w:rsidRPr="00AE78FC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Default="00AE78FC" w:rsidP="00241F5B">
            <w:pPr>
              <w:spacing w:line="240" w:lineRule="auto"/>
              <w:ind w:firstLine="0"/>
              <w:jc w:val="left"/>
            </w:pPr>
            <w:r>
              <w:t>2</w:t>
            </w:r>
          </w:p>
          <w:p w:rsidR="004C0D46" w:rsidRPr="00AE78FC" w:rsidRDefault="00AE78FC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4C0D46" w:rsidTr="00537BC6">
        <w:trPr>
          <w:jc w:val="center"/>
        </w:trPr>
        <w:tc>
          <w:tcPr>
            <w:tcW w:w="2059" w:type="dxa"/>
          </w:tcPr>
          <w:p w:rsidR="004C0D46" w:rsidRPr="00AE78FC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C0D46" w:rsidRPr="00AE78FC" w:rsidRDefault="00AE78FC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AE78FC">
              <w:rPr>
                <w:b/>
              </w:rPr>
              <w:t>–1</w:t>
            </w:r>
          </w:p>
          <w:p w:rsidR="004C0D46" w:rsidRPr="00AE78FC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Pr="00AE78FC" w:rsidRDefault="004C0D46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AE78FC">
              <w:rPr>
                <w:b/>
              </w:rPr>
              <w:t>–10</w:t>
            </w:r>
          </w:p>
          <w:p w:rsidR="004C0D46" w:rsidRPr="00AE78FC" w:rsidRDefault="00AE78FC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Pr="00AE78FC" w:rsidRDefault="004C0D46" w:rsidP="00241F5B">
            <w:pPr>
              <w:spacing w:line="240" w:lineRule="auto"/>
              <w:ind w:firstLine="0"/>
              <w:jc w:val="left"/>
              <w:rPr>
                <w:b/>
              </w:rPr>
            </w:pPr>
            <w:r w:rsidRPr="00AE78FC">
              <w:rPr>
                <w:b/>
              </w:rPr>
              <w:t>–6</w:t>
            </w:r>
          </w:p>
          <w:p w:rsidR="004C0D46" w:rsidRPr="00AE78FC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4C0D46" w:rsidTr="00537BC6">
        <w:trPr>
          <w:jc w:val="center"/>
        </w:trPr>
        <w:tc>
          <w:tcPr>
            <w:tcW w:w="2059" w:type="dxa"/>
          </w:tcPr>
          <w:p w:rsidR="004C0D46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C0D46" w:rsidRDefault="00AE78FC" w:rsidP="00241F5B">
            <w:pPr>
              <w:spacing w:line="240" w:lineRule="auto"/>
              <w:ind w:firstLine="0"/>
              <w:jc w:val="left"/>
            </w:pPr>
            <w:r>
              <w:t>3</w:t>
            </w:r>
          </w:p>
          <w:p w:rsidR="004C0D46" w:rsidRPr="00AE78FC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15</w:t>
            </w:r>
          </w:p>
          <w:p w:rsidR="004C0D46" w:rsidRPr="00AE78FC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17</w:t>
            </w:r>
          </w:p>
          <w:p w:rsidR="004C0D46" w:rsidRPr="00294DF7" w:rsidRDefault="00AE78FC" w:rsidP="00241F5B">
            <w:pPr>
              <w:spacing w:line="240" w:lineRule="auto"/>
              <w:ind w:firstLine="0"/>
              <w:jc w:val="right"/>
            </w:pPr>
            <w:r>
              <w:t>8</w:t>
            </w:r>
          </w:p>
        </w:tc>
      </w:tr>
      <w:tr w:rsidR="004C0D46" w:rsidTr="00537BC6">
        <w:trPr>
          <w:jc w:val="center"/>
        </w:trPr>
        <w:tc>
          <w:tcPr>
            <w:tcW w:w="2059" w:type="dxa"/>
          </w:tcPr>
          <w:p w:rsidR="004C0D46" w:rsidRPr="004C0D46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C0D46" w:rsidRPr="004C0D46" w:rsidRDefault="004C0D46" w:rsidP="00241F5B">
            <w:pPr>
              <w:pBdr>
                <w:between w:val="single" w:sz="4" w:space="1" w:color="auto"/>
              </w:pBdr>
              <w:spacing w:line="240" w:lineRule="auto"/>
              <w:ind w:firstLine="0"/>
              <w:jc w:val="left"/>
            </w:pPr>
            <w:r w:rsidRPr="004C0D46">
              <w:t>1</w:t>
            </w:r>
          </w:p>
          <w:p w:rsidR="004C0D46" w:rsidRPr="004C0D46" w:rsidRDefault="00AE78FC" w:rsidP="00241F5B">
            <w:pPr>
              <w:spacing w:line="240" w:lineRule="auto"/>
              <w:ind w:firstLine="0"/>
              <w:jc w:val="right"/>
            </w:pPr>
            <w:r>
              <w:t>1</w:t>
            </w:r>
          </w:p>
        </w:tc>
        <w:tc>
          <w:tcPr>
            <w:tcW w:w="1829" w:type="dxa"/>
          </w:tcPr>
          <w:p w:rsidR="004C0D46" w:rsidRPr="004C0D46" w:rsidRDefault="004C0D46" w:rsidP="00241F5B">
            <w:pPr>
              <w:spacing w:line="240" w:lineRule="auto"/>
              <w:ind w:firstLine="0"/>
              <w:jc w:val="left"/>
            </w:pPr>
            <w:r w:rsidRPr="004C0D46">
              <w:t>0</w:t>
            </w:r>
          </w:p>
          <w:p w:rsidR="004C0D46" w:rsidRPr="00AE78FC" w:rsidRDefault="00AE78FC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AE78FC">
              <w:rPr>
                <w:b/>
              </w:rPr>
              <w:t>0</w:t>
            </w:r>
          </w:p>
        </w:tc>
        <w:tc>
          <w:tcPr>
            <w:tcW w:w="1829" w:type="dxa"/>
          </w:tcPr>
          <w:p w:rsidR="004C0D46" w:rsidRPr="004C0D46" w:rsidRDefault="004C0D46" w:rsidP="00241F5B">
            <w:pPr>
              <w:spacing w:line="240" w:lineRule="auto"/>
              <w:ind w:firstLine="0"/>
              <w:jc w:val="left"/>
            </w:pPr>
            <w:r w:rsidRPr="004C0D46">
              <w:t>5</w:t>
            </w:r>
          </w:p>
          <w:p w:rsidR="004C0D46" w:rsidRPr="004C0D46" w:rsidRDefault="00AE78FC" w:rsidP="00241F5B">
            <w:pPr>
              <w:spacing w:line="240" w:lineRule="auto"/>
              <w:ind w:firstLine="0"/>
              <w:jc w:val="right"/>
            </w:pPr>
            <w:r>
              <w:t>5</w:t>
            </w:r>
          </w:p>
        </w:tc>
      </w:tr>
      <w:tr w:rsidR="004C0D46" w:rsidTr="00537BC6">
        <w:trPr>
          <w:jc w:val="center"/>
        </w:trPr>
        <w:tc>
          <w:tcPr>
            <w:tcW w:w="2059" w:type="dxa"/>
          </w:tcPr>
          <w:p w:rsidR="004C0D46" w:rsidRDefault="004C0D46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2025" w:type="dxa"/>
          </w:tcPr>
          <w:p w:rsidR="004C0D46" w:rsidRDefault="00AE78FC" w:rsidP="00241F5B">
            <w:pPr>
              <w:spacing w:line="240" w:lineRule="auto"/>
              <w:ind w:firstLine="0"/>
              <w:jc w:val="left"/>
            </w:pPr>
            <w:r>
              <w:t>2</w:t>
            </w:r>
          </w:p>
          <w:p w:rsidR="004C0D46" w:rsidRPr="00A24867" w:rsidRDefault="00AE78FC" w:rsidP="00241F5B">
            <w:pPr>
              <w:spacing w:line="240" w:lineRule="auto"/>
              <w:ind w:firstLine="0"/>
              <w:jc w:val="right"/>
            </w:pPr>
            <w:r>
              <w:t>2</w:t>
            </w:r>
          </w:p>
        </w:tc>
        <w:tc>
          <w:tcPr>
            <w:tcW w:w="1829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4C0D46" w:rsidRPr="00AE78FC" w:rsidRDefault="00AE78FC" w:rsidP="00241F5B">
            <w:pPr>
              <w:spacing w:line="240" w:lineRule="auto"/>
              <w:ind w:firstLine="0"/>
              <w:jc w:val="right"/>
              <w:rPr>
                <w:b/>
              </w:rPr>
            </w:pPr>
            <w:r w:rsidRPr="00AE78FC">
              <w:rPr>
                <w:b/>
              </w:rPr>
              <w:t>0</w:t>
            </w:r>
          </w:p>
        </w:tc>
        <w:tc>
          <w:tcPr>
            <w:tcW w:w="1829" w:type="dxa"/>
          </w:tcPr>
          <w:p w:rsidR="004C0D46" w:rsidRDefault="004C0D46" w:rsidP="00241F5B">
            <w:pPr>
              <w:spacing w:line="240" w:lineRule="auto"/>
              <w:ind w:firstLine="0"/>
              <w:jc w:val="left"/>
            </w:pPr>
            <w:r>
              <w:t>7</w:t>
            </w:r>
          </w:p>
          <w:p w:rsidR="004C0D46" w:rsidRPr="00294DF7" w:rsidRDefault="00AE78FC" w:rsidP="00241F5B">
            <w:pPr>
              <w:spacing w:line="240" w:lineRule="auto"/>
              <w:ind w:firstLine="0"/>
              <w:jc w:val="right"/>
            </w:pPr>
            <w:r>
              <w:t>7</w:t>
            </w:r>
          </w:p>
        </w:tc>
      </w:tr>
    </w:tbl>
    <w:p w:rsidR="00294DF7" w:rsidRDefault="00294DF7" w:rsidP="007D21F2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</w:tblGrid>
      <w:tr w:rsidR="00336C9D" w:rsidTr="00537BC6">
        <w:trPr>
          <w:jc w:val="center"/>
        </w:trPr>
        <w:tc>
          <w:tcPr>
            <w:tcW w:w="2059" w:type="dxa"/>
          </w:tcPr>
          <w:p w:rsidR="00336C9D" w:rsidRPr="00A24867" w:rsidRDefault="00336C9D" w:rsidP="00241F5B">
            <w:pPr>
              <w:spacing w:line="240" w:lineRule="auto"/>
              <w:ind w:firstLine="0"/>
              <w:jc w:val="center"/>
            </w:pPr>
            <w:r>
              <w:t>Базисні змінні</w:t>
            </w:r>
          </w:p>
        </w:tc>
        <w:tc>
          <w:tcPr>
            <w:tcW w:w="2025" w:type="dxa"/>
          </w:tcPr>
          <w:p w:rsidR="00336C9D" w:rsidRPr="00A24867" w:rsidRDefault="00336C9D" w:rsidP="00241F5B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336C9D" w:rsidRPr="00336C9D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336C9D" w:rsidRPr="00B16DBA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36C9D" w:rsidTr="00537BC6">
        <w:trPr>
          <w:jc w:val="center"/>
        </w:trPr>
        <w:tc>
          <w:tcPr>
            <w:tcW w:w="2059" w:type="dxa"/>
          </w:tcPr>
          <w:p w:rsidR="00336C9D" w:rsidRPr="00B16DBA" w:rsidRDefault="007D7204" w:rsidP="00241F5B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6C9D" w:rsidRPr="00B16DBA" w:rsidRDefault="00B16DBA" w:rsidP="00241F5B">
            <w:pPr>
              <w:spacing w:line="240" w:lineRule="auto"/>
              <w:ind w:firstLine="0"/>
              <w:jc w:val="righ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B16DBA" w:rsidRPr="00B16DBA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B16DBA" w:rsidRDefault="007D7204" w:rsidP="00241F5B">
            <w:pPr>
              <w:spacing w:line="240" w:lineRule="auto"/>
              <w:ind w:firstLine="0"/>
              <w:jc w:val="righ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B16DBA" w:rsidRPr="00B16DBA" w:rsidRDefault="00B16DBA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B16DBA" w:rsidRDefault="00B16DBA" w:rsidP="00241F5B">
            <w:pPr>
              <w:spacing w:line="240" w:lineRule="auto"/>
              <w:ind w:firstLine="0"/>
              <w:jc w:val="righ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B16DBA" w:rsidRPr="00B16DBA" w:rsidRDefault="00B16DBA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</w:tr>
      <w:tr w:rsidR="00336C9D" w:rsidTr="00537BC6">
        <w:trPr>
          <w:jc w:val="center"/>
        </w:trPr>
        <w:tc>
          <w:tcPr>
            <w:tcW w:w="2059" w:type="dxa"/>
          </w:tcPr>
          <w:p w:rsidR="00336C9D" w:rsidRPr="00336C9D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6C9D" w:rsidRPr="00537BC6" w:rsidRDefault="007D7204" w:rsidP="00241F5B">
            <w:pPr>
              <w:spacing w:line="240" w:lineRule="auto"/>
              <w:ind w:firstLine="0"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537BC6" w:rsidRPr="004452EA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4452EA" w:rsidRDefault="00336C9D" w:rsidP="00241F5B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4452EA" w:rsidRPr="00C83159" w:rsidRDefault="007D7204" w:rsidP="00241F5B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537BC6" w:rsidRDefault="007D7204" w:rsidP="00241F5B">
            <w:pPr>
              <w:spacing w:line="240" w:lineRule="auto"/>
              <w:ind w:firstLine="0"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537BC6" w:rsidRPr="00537BC6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</w:tr>
      <w:tr w:rsidR="00336C9D" w:rsidTr="00537BC6">
        <w:trPr>
          <w:jc w:val="center"/>
        </w:trPr>
        <w:tc>
          <w:tcPr>
            <w:tcW w:w="2059" w:type="dxa"/>
          </w:tcPr>
          <w:p w:rsidR="00336C9D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6C9D" w:rsidRPr="004452EA" w:rsidRDefault="007D7204" w:rsidP="00241F5B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452EA" w:rsidRPr="004452EA" w:rsidRDefault="007D7204" w:rsidP="00241F5B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4452EA" w:rsidRDefault="007D7204" w:rsidP="00241F5B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452EA" w:rsidRPr="004452EA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Default="00336C9D" w:rsidP="00241F5B">
            <w:pPr>
              <w:spacing w:line="240" w:lineRule="auto"/>
              <w:ind w:firstLine="0"/>
              <w:jc w:val="left"/>
            </w:pPr>
            <w:r>
              <w:t>8</w:t>
            </w:r>
          </w:p>
          <w:p w:rsidR="00336C9D" w:rsidRPr="00537BC6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</w:tr>
      <w:tr w:rsidR="00336C9D" w:rsidTr="00537BC6">
        <w:trPr>
          <w:jc w:val="center"/>
        </w:trPr>
        <w:tc>
          <w:tcPr>
            <w:tcW w:w="2059" w:type="dxa"/>
          </w:tcPr>
          <w:p w:rsidR="00336C9D" w:rsidRPr="004C0D46" w:rsidRDefault="007D7204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6C9D" w:rsidRPr="004C0D46" w:rsidRDefault="00336C9D" w:rsidP="00241F5B">
            <w:pPr>
              <w:pBdr>
                <w:between w:val="single" w:sz="4" w:space="1" w:color="auto"/>
              </w:pBdr>
              <w:spacing w:line="240" w:lineRule="auto"/>
              <w:ind w:firstLine="0"/>
              <w:jc w:val="left"/>
            </w:pPr>
            <w:r w:rsidRPr="004C0D46">
              <w:t>1</w:t>
            </w:r>
          </w:p>
          <w:p w:rsidR="00336C9D" w:rsidRPr="004452EA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Default="00336C9D" w:rsidP="00241F5B">
            <w:pPr>
              <w:spacing w:line="240" w:lineRule="auto"/>
              <w:ind w:firstLine="0"/>
              <w:jc w:val="left"/>
            </w:pPr>
            <w:r w:rsidRPr="004C0D46">
              <w:t>0</w:t>
            </w:r>
          </w:p>
          <w:p w:rsidR="00336C9D" w:rsidRPr="004452EA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Pr="004C0D46" w:rsidRDefault="00336C9D" w:rsidP="00241F5B">
            <w:pPr>
              <w:spacing w:line="240" w:lineRule="auto"/>
              <w:ind w:firstLine="0"/>
              <w:jc w:val="left"/>
            </w:pPr>
            <w:r w:rsidRPr="004C0D46">
              <w:t>5</w:t>
            </w:r>
          </w:p>
          <w:p w:rsidR="00336C9D" w:rsidRPr="004452EA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</w:tr>
      <w:tr w:rsidR="00336C9D" w:rsidTr="00537BC6">
        <w:trPr>
          <w:jc w:val="center"/>
        </w:trPr>
        <w:tc>
          <w:tcPr>
            <w:tcW w:w="2059" w:type="dxa"/>
          </w:tcPr>
          <w:p w:rsidR="00336C9D" w:rsidRDefault="00336C9D" w:rsidP="00241F5B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2025" w:type="dxa"/>
          </w:tcPr>
          <w:p w:rsidR="00336C9D" w:rsidRDefault="00336C9D" w:rsidP="00241F5B">
            <w:pPr>
              <w:spacing w:line="240" w:lineRule="auto"/>
              <w:ind w:firstLine="0"/>
              <w:jc w:val="left"/>
            </w:pPr>
            <w:r>
              <w:t>2</w:t>
            </w:r>
          </w:p>
          <w:p w:rsidR="00336C9D" w:rsidRPr="004452EA" w:rsidRDefault="007D7204" w:rsidP="00241F5B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Default="00336C9D" w:rsidP="00241F5B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336C9D" w:rsidRPr="00E62FF9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336C9D" w:rsidRDefault="00336C9D" w:rsidP="00241F5B">
            <w:pPr>
              <w:spacing w:line="240" w:lineRule="auto"/>
              <w:ind w:firstLine="0"/>
              <w:jc w:val="left"/>
            </w:pPr>
            <w:r>
              <w:t>7</w:t>
            </w:r>
          </w:p>
          <w:p w:rsidR="00336C9D" w:rsidRPr="004452EA" w:rsidRDefault="007D7204" w:rsidP="00241F5B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</w:tc>
      </w:tr>
    </w:tbl>
    <w:p w:rsidR="008A6720" w:rsidRDefault="008A6720" w:rsidP="007D21F2"/>
    <w:p w:rsidR="008A6720" w:rsidRDefault="008A6720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</w:tblGrid>
      <w:tr w:rsidR="00E62FF9" w:rsidTr="00250D93">
        <w:trPr>
          <w:jc w:val="center"/>
        </w:trPr>
        <w:tc>
          <w:tcPr>
            <w:tcW w:w="2059" w:type="dxa"/>
          </w:tcPr>
          <w:p w:rsidR="00E62FF9" w:rsidRPr="00A24867" w:rsidRDefault="00E62FF9" w:rsidP="00250D93">
            <w:pPr>
              <w:spacing w:line="240" w:lineRule="auto"/>
              <w:ind w:firstLine="0"/>
              <w:jc w:val="center"/>
            </w:pPr>
            <w:r>
              <w:lastRenderedPageBreak/>
              <w:t>Базисні змінні</w:t>
            </w:r>
          </w:p>
        </w:tc>
        <w:tc>
          <w:tcPr>
            <w:tcW w:w="2025" w:type="dxa"/>
          </w:tcPr>
          <w:p w:rsidR="00E62FF9" w:rsidRPr="00A24867" w:rsidRDefault="00E62FF9" w:rsidP="00250D93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E62FF9" w:rsidRPr="0088279D" w:rsidRDefault="007D7204" w:rsidP="0088279D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E62FF9" w:rsidRPr="0088279D" w:rsidRDefault="007D7204" w:rsidP="0088279D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2FF9" w:rsidTr="00250D93">
        <w:trPr>
          <w:jc w:val="center"/>
        </w:trPr>
        <w:tc>
          <w:tcPr>
            <w:tcW w:w="2059" w:type="dxa"/>
          </w:tcPr>
          <w:p w:rsidR="00E62FF9" w:rsidRPr="0088279D" w:rsidRDefault="007D7204" w:rsidP="0088279D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E62FF9" w:rsidRPr="00711BD8" w:rsidRDefault="007D7204" w:rsidP="0088279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4F2DAE" w:rsidRDefault="007D7204" w:rsidP="0088279D">
            <w:pPr>
              <w:spacing w:line="240" w:lineRule="auto"/>
              <w:ind w:firstLine="0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E62FF9" w:rsidP="0088279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010062" w:rsidRDefault="007D7204" w:rsidP="00010062">
            <w:pPr>
              <w:spacing w:line="240" w:lineRule="auto"/>
              <w:ind w:firstLine="0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E62FF9" w:rsidP="0088279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7E7F42" w:rsidRDefault="004F2DAE" w:rsidP="0088279D">
            <w:pPr>
              <w:spacing w:line="240" w:lineRule="auto"/>
              <w:ind w:firstLine="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</w:tr>
      <w:tr w:rsidR="00E62FF9" w:rsidTr="00250D93">
        <w:trPr>
          <w:jc w:val="center"/>
        </w:trPr>
        <w:tc>
          <w:tcPr>
            <w:tcW w:w="2059" w:type="dxa"/>
          </w:tcPr>
          <w:p w:rsidR="00E62FF9" w:rsidRPr="00336C9D" w:rsidRDefault="007D7204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7E7F42" w:rsidRDefault="007D7204" w:rsidP="0088279D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2530C7" w:rsidRDefault="00010062" w:rsidP="002530C7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7E7F42" w:rsidRDefault="007D7204" w:rsidP="0088279D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</w:tr>
      <w:tr w:rsidR="00E62FF9" w:rsidTr="00250D93">
        <w:trPr>
          <w:jc w:val="center"/>
        </w:trPr>
        <w:tc>
          <w:tcPr>
            <w:tcW w:w="2059" w:type="dxa"/>
          </w:tcPr>
          <w:p w:rsidR="00E62FF9" w:rsidRPr="0088279D" w:rsidRDefault="007D7204" w:rsidP="00250D93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2530C7" w:rsidRDefault="007D7204" w:rsidP="002530C7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5751D9" w:rsidRDefault="007D7204" w:rsidP="005751D9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2530C7" w:rsidRDefault="007D7204" w:rsidP="002530C7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</w:tr>
      <w:tr w:rsidR="00E62FF9" w:rsidTr="00250D93">
        <w:trPr>
          <w:jc w:val="center"/>
        </w:trPr>
        <w:tc>
          <w:tcPr>
            <w:tcW w:w="2059" w:type="dxa"/>
          </w:tcPr>
          <w:p w:rsidR="00E62FF9" w:rsidRPr="004C0D46" w:rsidRDefault="007D7204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7E7F42" w:rsidRDefault="007D7204" w:rsidP="0088279D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2530C7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2530C7" w:rsidRPr="002530C7" w:rsidRDefault="002530C7" w:rsidP="0088279D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711BD8" w:rsidRPr="0088279D" w:rsidRDefault="00711BD8" w:rsidP="0088279D">
            <w:pPr>
              <w:spacing w:line="240" w:lineRule="auto"/>
              <w:ind w:firstLine="0"/>
              <w:jc w:val="left"/>
            </w:pPr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9B20B0" w:rsidRDefault="007D7204" w:rsidP="009B20B0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</w:tr>
      <w:tr w:rsidR="00E62FF9" w:rsidTr="00250D93">
        <w:trPr>
          <w:jc w:val="center"/>
        </w:trPr>
        <w:tc>
          <w:tcPr>
            <w:tcW w:w="2059" w:type="dxa"/>
          </w:tcPr>
          <w:p w:rsidR="00E62FF9" w:rsidRDefault="0088279D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2025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010062" w:rsidRDefault="007D7204" w:rsidP="0088279D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82</m:t>
                    </m:r>
                  </m:den>
                </m:f>
              </m:oMath>
            </m:oMathPara>
          </w:p>
          <w:p w:rsidR="00711BD8" w:rsidRPr="002530C7" w:rsidRDefault="002530C7" w:rsidP="0088279D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E62FF9" w:rsidRPr="00711BD8" w:rsidRDefault="007D7204" w:rsidP="0088279D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41</m:t>
                    </m:r>
                  </m:den>
                </m:f>
              </m:oMath>
            </m:oMathPara>
          </w:p>
          <w:p w:rsidR="00711BD8" w:rsidRPr="00010062" w:rsidRDefault="007D7204" w:rsidP="0088279D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</w:tc>
      </w:tr>
    </w:tbl>
    <w:p w:rsidR="00E62FF9" w:rsidRDefault="00E62FF9" w:rsidP="007D21F2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</w:tblGrid>
      <w:tr w:rsidR="004F2DAE" w:rsidTr="00250D93">
        <w:trPr>
          <w:jc w:val="center"/>
        </w:trPr>
        <w:tc>
          <w:tcPr>
            <w:tcW w:w="2059" w:type="dxa"/>
          </w:tcPr>
          <w:p w:rsidR="004F2DAE" w:rsidRPr="00A24867" w:rsidRDefault="004F2DAE" w:rsidP="00250D93">
            <w:pPr>
              <w:spacing w:line="240" w:lineRule="auto"/>
              <w:ind w:firstLine="0"/>
              <w:jc w:val="center"/>
            </w:pPr>
            <w:r>
              <w:t>Базисні змінні</w:t>
            </w:r>
          </w:p>
        </w:tc>
        <w:tc>
          <w:tcPr>
            <w:tcW w:w="2025" w:type="dxa"/>
          </w:tcPr>
          <w:p w:rsidR="004F2DAE" w:rsidRPr="00A24867" w:rsidRDefault="004F2DAE" w:rsidP="00250D93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4F2DAE" w:rsidRPr="004F2DAE" w:rsidRDefault="007D7204" w:rsidP="004F2DAE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4F2DAE" w:rsidRPr="00A9500F" w:rsidRDefault="007D7204" w:rsidP="00250D93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F2DAE" w:rsidTr="009B20B0">
        <w:trPr>
          <w:jc w:val="center"/>
        </w:trPr>
        <w:tc>
          <w:tcPr>
            <w:tcW w:w="2059" w:type="dxa"/>
          </w:tcPr>
          <w:p w:rsidR="004F2DAE" w:rsidRPr="0088279D" w:rsidRDefault="007D7204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5" w:type="dxa"/>
            <w:shd w:val="clear" w:color="auto" w:fill="auto"/>
          </w:tcPr>
          <w:p w:rsidR="004F2DAE" w:rsidRPr="00230307" w:rsidRDefault="007D7204" w:rsidP="00250D9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230307" w:rsidRPr="00230307" w:rsidRDefault="007D7204" w:rsidP="00250D93">
            <w:pPr>
              <w:spacing w:line="240" w:lineRule="auto"/>
              <w:ind w:firstLine="0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4F2DAE" w:rsidRDefault="007D7204" w:rsidP="00250D93">
            <w:pPr>
              <w:spacing w:line="240" w:lineRule="auto"/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711BD8" w:rsidRDefault="004F2DAE" w:rsidP="00250D9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4F2DAE" w:rsidRPr="00D67B19" w:rsidRDefault="007D7204" w:rsidP="00250D93">
            <w:pPr>
              <w:spacing w:line="240" w:lineRule="auto"/>
              <w:ind w:firstLine="0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4F2DAE" w:rsidTr="009B20B0">
        <w:trPr>
          <w:jc w:val="center"/>
        </w:trPr>
        <w:tc>
          <w:tcPr>
            <w:tcW w:w="2059" w:type="dxa"/>
          </w:tcPr>
          <w:p w:rsidR="004F2DAE" w:rsidRPr="00A9500F" w:rsidRDefault="007D7204" w:rsidP="00250D93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F2DAE" w:rsidRPr="00A9500F" w:rsidRDefault="007D7204" w:rsidP="009B20B0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4F2DAE" w:rsidRPr="00230307" w:rsidRDefault="007D7204" w:rsidP="00250D93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A9500F" w:rsidRDefault="00A9500F" w:rsidP="00250D93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</w:tc>
        <w:tc>
          <w:tcPr>
            <w:tcW w:w="1829" w:type="dxa"/>
            <w:shd w:val="clear" w:color="auto" w:fill="auto"/>
          </w:tcPr>
          <w:p w:rsidR="004F2DAE" w:rsidRPr="00A9500F" w:rsidRDefault="007D7204" w:rsidP="009B20B0">
            <w:pPr>
              <w:spacing w:line="240" w:lineRule="auto"/>
              <w:ind w:firstLine="0"/>
              <w:jc w:val="left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A9500F" w:rsidRPr="00A9500F" w:rsidRDefault="007D7204" w:rsidP="00A9500F">
            <w:pPr>
              <w:spacing w:line="240" w:lineRule="auto"/>
              <w:ind w:left="708" w:hanging="708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4F2DAE" w:rsidTr="00250D93">
        <w:trPr>
          <w:jc w:val="center"/>
        </w:trPr>
        <w:tc>
          <w:tcPr>
            <w:tcW w:w="2059" w:type="dxa"/>
          </w:tcPr>
          <w:p w:rsidR="004F2DAE" w:rsidRPr="004F2DAE" w:rsidRDefault="007D7204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F2DAE" w:rsidRPr="00230307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230307" w:rsidRPr="00230307" w:rsidRDefault="007D7204" w:rsidP="00250D93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4F2DAE" w:rsidRDefault="007D7204" w:rsidP="004F2DAE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4F2DAE" w:rsidRPr="004F2DAE" w:rsidRDefault="004F2DAE" w:rsidP="004F2DAE">
            <w:pPr>
              <w:spacing w:line="240" w:lineRule="auto"/>
              <w:ind w:firstLine="0"/>
              <w:jc w:val="left"/>
            </w:pPr>
          </w:p>
        </w:tc>
        <w:tc>
          <w:tcPr>
            <w:tcW w:w="1829" w:type="dxa"/>
          </w:tcPr>
          <w:p w:rsidR="004F2DAE" w:rsidRPr="00A9500F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A9500F" w:rsidRPr="00A9500F" w:rsidRDefault="00A9500F" w:rsidP="00250D93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4F2DAE" w:rsidTr="00250D93">
        <w:trPr>
          <w:jc w:val="center"/>
        </w:trPr>
        <w:tc>
          <w:tcPr>
            <w:tcW w:w="2059" w:type="dxa"/>
          </w:tcPr>
          <w:p w:rsidR="004F2DAE" w:rsidRPr="004C0D46" w:rsidRDefault="007D7204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4F2DAE" w:rsidRPr="009B20B0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230307" w:rsidRPr="009B20B0" w:rsidRDefault="007D7204" w:rsidP="009B20B0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9B20B0" w:rsidRDefault="004F2DAE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4F2DAE" w:rsidRPr="009B20B0" w:rsidRDefault="004F2DAE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</w:p>
          <w:p w:rsidR="004F2DAE" w:rsidRPr="009B20B0" w:rsidRDefault="004F2DAE" w:rsidP="00250D93">
            <w:pPr>
              <w:spacing w:line="240" w:lineRule="auto"/>
              <w:ind w:firstLine="0"/>
              <w:jc w:val="left"/>
            </w:pPr>
          </w:p>
        </w:tc>
        <w:tc>
          <w:tcPr>
            <w:tcW w:w="1829" w:type="dxa"/>
          </w:tcPr>
          <w:p w:rsidR="004F2DAE" w:rsidRPr="009B20B0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259</m:t>
                    </m:r>
                  </m:den>
                </m:f>
              </m:oMath>
            </m:oMathPara>
          </w:p>
          <w:p w:rsidR="004F2DAE" w:rsidRPr="009B20B0" w:rsidRDefault="00A9500F" w:rsidP="00A9500F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4F2DAE" w:rsidTr="00250D93">
        <w:trPr>
          <w:jc w:val="center"/>
        </w:trPr>
        <w:tc>
          <w:tcPr>
            <w:tcW w:w="2059" w:type="dxa"/>
          </w:tcPr>
          <w:p w:rsidR="004F2DAE" w:rsidRDefault="004F2DAE" w:rsidP="00250D9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2025" w:type="dxa"/>
          </w:tcPr>
          <w:p w:rsidR="004F2DAE" w:rsidRPr="00711BD8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  <w:p w:rsidR="004F2DAE" w:rsidRPr="00010062" w:rsidRDefault="007D7204" w:rsidP="00250D93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4F2DAE" w:rsidRDefault="004F2DAE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  <w:p w:rsidR="004F2DAE" w:rsidRPr="004F2DAE" w:rsidRDefault="00D67B19" w:rsidP="00250D93">
            <w:pPr>
              <w:spacing w:line="240" w:lineRule="auto"/>
              <w:ind w:firstLine="0"/>
              <w:jc w:val="lef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4F2DAE" w:rsidRPr="00711BD8" w:rsidRDefault="007D7204" w:rsidP="00250D93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37</m:t>
                    </m:r>
                  </m:den>
                </m:f>
              </m:oMath>
            </m:oMathPara>
          </w:p>
          <w:p w:rsidR="004F2DAE" w:rsidRPr="00A9500F" w:rsidRDefault="00A9500F" w:rsidP="00250D93">
            <w:pPr>
              <w:spacing w:line="240" w:lineRule="auto"/>
              <w:ind w:firstLine="0"/>
              <w:jc w:val="lef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</w:tbl>
    <w:p w:rsidR="00230307" w:rsidRPr="00082181" w:rsidRDefault="007D7204" w:rsidP="008A624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func>
          <m:r>
            <w:rPr>
              <w:rFonts w:ascii="Cambria Math" w:hAnsi="Cambria Math"/>
            </w:rPr>
            <m:t>≈0.7647</m:t>
          </m:r>
        </m:oMath>
      </m:oMathPara>
    </w:p>
    <w:p w:rsidR="00082181" w:rsidRPr="00082181" w:rsidRDefault="007D7204" w:rsidP="008A6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30307" w:rsidRPr="009B20B0" w:rsidRDefault="007D7204" w:rsidP="008A6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17</m:t>
              </m:r>
            </m:den>
          </m:f>
          <m:r>
            <w:rPr>
              <w:rFonts w:ascii="Cambria Math" w:hAnsi="Cambria Math"/>
              <w:lang w:val="en-US"/>
            </w:rPr>
            <m:t>≈0.1176</m:t>
          </m:r>
        </m:oMath>
      </m:oMathPara>
    </w:p>
    <w:p w:rsidR="00230307" w:rsidRPr="00230307" w:rsidRDefault="007D7204" w:rsidP="008A6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≈0.1765</m:t>
          </m:r>
        </m:oMath>
      </m:oMathPara>
    </w:p>
    <w:p w:rsidR="00230307" w:rsidRPr="00082181" w:rsidRDefault="007D7204" w:rsidP="008A6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lang w:val="en-US"/>
                </w:rPr>
                <m:t>17</m:t>
              </m:r>
            </m:den>
          </m:f>
        </m:oMath>
      </m:oMathPara>
    </w:p>
    <w:p w:rsidR="00082181" w:rsidRPr="00082181" w:rsidRDefault="007D7204" w:rsidP="008A6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</m:oMath>
      </m:oMathPara>
    </w:p>
    <w:p w:rsidR="00082181" w:rsidRPr="00442987" w:rsidRDefault="007D7204" w:rsidP="008A624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42987" w:rsidRPr="00442987" w:rsidRDefault="00442987" w:rsidP="00442987">
      <w:r w:rsidRPr="00442987">
        <w:t>Виконаємо перевірку отриманих табличним симплекс-методом результатів за допомогою пакету MATLAB</w:t>
      </w:r>
      <w:r w:rsidR="00870D3F">
        <w:t xml:space="preserve"> (</w:t>
      </w:r>
      <w:r w:rsidR="00870D3F">
        <w:fldChar w:fldCharType="begin"/>
      </w:r>
      <w:r w:rsidR="00870D3F">
        <w:instrText xml:space="preserve"> REF _Ref309769564 \h </w:instrText>
      </w:r>
      <w:r w:rsidR="00870D3F">
        <w:fldChar w:fldCharType="separate"/>
      </w:r>
      <w:r w:rsidR="00870D3F">
        <w:t xml:space="preserve">Таблиця  </w:t>
      </w:r>
      <w:r w:rsidR="00870D3F">
        <w:rPr>
          <w:noProof/>
        </w:rPr>
        <w:t>1</w:t>
      </w:r>
      <w:r w:rsidR="00870D3F">
        <w:fldChar w:fldCharType="end"/>
      </w:r>
      <w:r w:rsidR="00870D3F">
        <w:t>)</w:t>
      </w:r>
      <w:r w:rsidRPr="00442987">
        <w:t>:</w:t>
      </w:r>
    </w:p>
    <w:p w:rsidR="00BC10CB" w:rsidRPr="00BC10CB" w:rsidRDefault="00BC10CB" w:rsidP="000757F7">
      <w:pPr>
        <w:pStyle w:val="af6"/>
        <w:keepNext/>
        <w:spacing w:before="240"/>
        <w:ind w:firstLine="0"/>
        <w:jc w:val="left"/>
      </w:pPr>
      <w:bookmarkStart w:id="1" w:name="_Ref309769564"/>
      <w:r>
        <w:t xml:space="preserve">Таблиця  </w:t>
      </w:r>
      <w:r>
        <w:fldChar w:fldCharType="begin"/>
      </w:r>
      <w:r>
        <w:instrText xml:space="preserve"> SEQ Таблиця_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.</w:t>
      </w:r>
      <w:r>
        <w:t xml:space="preserve"> Перевірка результатів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42987" w:rsidTr="009E54DF">
        <w:tc>
          <w:tcPr>
            <w:tcW w:w="5070" w:type="dxa"/>
          </w:tcPr>
          <w:p w:rsidR="00442987" w:rsidRPr="00870D3F" w:rsidRDefault="00442987" w:rsidP="009E54DF">
            <w:pPr>
              <w:ind w:firstLine="0"/>
              <w:rPr>
                <w:b/>
                <w:sz w:val="24"/>
                <w:lang w:val="en-US"/>
              </w:rPr>
            </w:pPr>
            <w:r w:rsidRPr="00870D3F">
              <w:rPr>
                <w:b/>
                <w:sz w:val="24"/>
                <w:lang w:val="ru-RU"/>
              </w:rPr>
              <w:t xml:space="preserve">Код в </w:t>
            </w:r>
            <w:r w:rsidRPr="00870D3F">
              <w:rPr>
                <w:b/>
                <w:sz w:val="24"/>
                <w:lang w:val="en-US"/>
              </w:rPr>
              <w:t>MATLAB</w:t>
            </w:r>
          </w:p>
        </w:tc>
        <w:tc>
          <w:tcPr>
            <w:tcW w:w="4501" w:type="dxa"/>
          </w:tcPr>
          <w:p w:rsidR="00442987" w:rsidRPr="00870D3F" w:rsidRDefault="00442987" w:rsidP="009E54DF">
            <w:pPr>
              <w:ind w:firstLine="0"/>
              <w:rPr>
                <w:b/>
                <w:sz w:val="24"/>
                <w:lang w:val="ru-RU"/>
              </w:rPr>
            </w:pPr>
            <w:r w:rsidRPr="00870D3F">
              <w:rPr>
                <w:b/>
                <w:sz w:val="24"/>
                <w:lang w:val="ru-RU"/>
              </w:rPr>
              <w:t>Результат запуску</w:t>
            </w:r>
          </w:p>
        </w:tc>
      </w:tr>
      <w:tr w:rsidR="00442987" w:rsidTr="009E54DF">
        <w:tc>
          <w:tcPr>
            <w:tcW w:w="5070" w:type="dxa"/>
          </w:tcPr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[0 2 3];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[ 17 -1 -3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-10  1 -1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15 -3  2 ];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  0  0  0 ];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[ 0 1 5 ];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(3, 1);</w:t>
            </w:r>
          </w:p>
          <w:p w:rsidR="00442987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42987" w:rsidRPr="00B01E2C" w:rsidRDefault="00442987" w:rsidP="009E54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linprog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(f,A,b,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,[])</w:t>
            </w:r>
          </w:p>
        </w:tc>
        <w:tc>
          <w:tcPr>
            <w:tcW w:w="4501" w:type="dxa"/>
          </w:tcPr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>Optimization</w:t>
            </w:r>
            <w:proofErr w:type="spellEnd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>terminated</w:t>
            </w:r>
            <w:proofErr w:type="spellEnd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>.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>x =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0.0000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0.1176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0.1765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>fval</w:t>
            </w:r>
            <w:proofErr w:type="spellEnd"/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</w:t>
            </w:r>
          </w:p>
          <w:p w:rsidR="00442987" w:rsidRPr="008A6720" w:rsidRDefault="00442987" w:rsidP="009E54DF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:rsidR="00442987" w:rsidRDefault="00442987" w:rsidP="009E54DF">
            <w:pPr>
              <w:ind w:firstLine="0"/>
              <w:rPr>
                <w:lang w:val="ru-RU"/>
              </w:rPr>
            </w:pPr>
            <w:r w:rsidRPr="008A6720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0.7647</w:t>
            </w:r>
          </w:p>
        </w:tc>
      </w:tr>
    </w:tbl>
    <w:p w:rsidR="00602209" w:rsidRDefault="00126361" w:rsidP="00870D3F">
      <w:pPr>
        <w:rPr>
          <w:rFonts w:eastAsiaTheme="minorEastAsia"/>
        </w:rPr>
      </w:pPr>
      <w:r>
        <w:rPr>
          <w:rFonts w:eastAsiaTheme="minorEastAsia"/>
        </w:rPr>
        <w:t>Результати співпадають.</w:t>
      </w:r>
    </w:p>
    <w:p w:rsidR="008A6720" w:rsidRPr="00870D3F" w:rsidRDefault="00082181" w:rsidP="00870D3F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і при цьому ми отримали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значення змінних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 яких ми </w:t>
      </w:r>
      <w:r w:rsidR="00C1728D">
        <w:rPr>
          <w:rFonts w:eastAsiaTheme="minorEastAsia"/>
        </w:rPr>
        <w:t>намагаємося отримати</w:t>
      </w:r>
      <w:r>
        <w:rPr>
          <w:rFonts w:eastAsiaTheme="minorEastAsia"/>
        </w:rPr>
        <w:t xml:space="preserve"> мінімальне значення функції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</w:t>
      </w:r>
      <w:r w:rsidR="000603DF">
        <w:rPr>
          <w:rFonts w:eastAsiaTheme="minorEastAsia"/>
        </w:rPr>
        <w:t xml:space="preserve"> необмежені. </w:t>
      </w:r>
      <w:r w:rsidR="008A6720">
        <w:rPr>
          <w:rFonts w:eastAsiaTheme="minorEastAsia"/>
        </w:rPr>
        <w:t xml:space="preserve">Це означає, що при заданих обмеженнях функція не має глобального мінімуму. </w:t>
      </w:r>
      <w:r w:rsidR="00C56FFD">
        <w:rPr>
          <w:rFonts w:eastAsiaTheme="minorEastAsia"/>
        </w:rPr>
        <w:t>Отримані</w:t>
      </w:r>
      <w:r w:rsidR="000603DF">
        <w:rPr>
          <w:rFonts w:eastAsiaTheme="minorEastAsia"/>
        </w:rPr>
        <w:t xml:space="preserve"> результати можна інтерпретувати</w:t>
      </w:r>
      <w:r w:rsidR="001E596F">
        <w:rPr>
          <w:rFonts w:eastAsiaTheme="minorEastAsia"/>
        </w:rPr>
        <w:t xml:space="preserve"> як співвідношення між змінними, </w:t>
      </w:r>
      <w:r w:rsidR="008A6720">
        <w:rPr>
          <w:rFonts w:eastAsiaTheme="minorEastAsia"/>
        </w:rPr>
        <w:t>при яких функція «найшвидше» прямує до необмеженого мінімуму.</w:t>
      </w:r>
    </w:p>
    <w:sectPr w:rsidR="008A6720" w:rsidRPr="00870D3F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04" w:rsidRDefault="007D7204" w:rsidP="00667B62">
      <w:pPr>
        <w:spacing w:line="240" w:lineRule="auto"/>
      </w:pPr>
      <w:r>
        <w:separator/>
      </w:r>
    </w:p>
  </w:endnote>
  <w:endnote w:type="continuationSeparator" w:id="0">
    <w:p w:rsidR="007D7204" w:rsidRDefault="007D7204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250D93" w:rsidRPr="00667B62" w:rsidRDefault="00250D93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9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7A270F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04" w:rsidRDefault="007D7204" w:rsidP="00667B62">
      <w:pPr>
        <w:spacing w:line="240" w:lineRule="auto"/>
      </w:pPr>
      <w:r>
        <w:separator/>
      </w:r>
    </w:p>
  </w:footnote>
  <w:footnote w:type="continuationSeparator" w:id="0">
    <w:p w:rsidR="007D7204" w:rsidRDefault="007D7204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93" w:rsidRPr="00197ADB" w:rsidRDefault="00250D93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250D93" w:rsidRPr="00D05598" w:rsidRDefault="00250D93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10062"/>
    <w:rsid w:val="00013881"/>
    <w:rsid w:val="00014488"/>
    <w:rsid w:val="00017370"/>
    <w:rsid w:val="000246C0"/>
    <w:rsid w:val="0002704F"/>
    <w:rsid w:val="00027A30"/>
    <w:rsid w:val="00030976"/>
    <w:rsid w:val="000333B1"/>
    <w:rsid w:val="00041DD5"/>
    <w:rsid w:val="000521B9"/>
    <w:rsid w:val="000536FA"/>
    <w:rsid w:val="000578F1"/>
    <w:rsid w:val="000603DF"/>
    <w:rsid w:val="000735CF"/>
    <w:rsid w:val="00074F8F"/>
    <w:rsid w:val="000757F7"/>
    <w:rsid w:val="00082181"/>
    <w:rsid w:val="00086E44"/>
    <w:rsid w:val="0008754C"/>
    <w:rsid w:val="00087619"/>
    <w:rsid w:val="00090127"/>
    <w:rsid w:val="0009077F"/>
    <w:rsid w:val="0009502C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26361"/>
    <w:rsid w:val="00130F69"/>
    <w:rsid w:val="00131076"/>
    <w:rsid w:val="00134071"/>
    <w:rsid w:val="00134928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D7945"/>
    <w:rsid w:val="001E2017"/>
    <w:rsid w:val="001E3728"/>
    <w:rsid w:val="001E596F"/>
    <w:rsid w:val="001E6AF8"/>
    <w:rsid w:val="0020489C"/>
    <w:rsid w:val="00221E59"/>
    <w:rsid w:val="00230307"/>
    <w:rsid w:val="00241F5B"/>
    <w:rsid w:val="00246BD7"/>
    <w:rsid w:val="00250D93"/>
    <w:rsid w:val="002530C7"/>
    <w:rsid w:val="00255883"/>
    <w:rsid w:val="002604E3"/>
    <w:rsid w:val="00263E8F"/>
    <w:rsid w:val="00272434"/>
    <w:rsid w:val="0027374E"/>
    <w:rsid w:val="002738B2"/>
    <w:rsid w:val="002747C3"/>
    <w:rsid w:val="002756FD"/>
    <w:rsid w:val="00284623"/>
    <w:rsid w:val="00294DF7"/>
    <w:rsid w:val="00295432"/>
    <w:rsid w:val="00296B0B"/>
    <w:rsid w:val="002A11D8"/>
    <w:rsid w:val="002A2F6B"/>
    <w:rsid w:val="002A50D6"/>
    <w:rsid w:val="002A6849"/>
    <w:rsid w:val="002B278F"/>
    <w:rsid w:val="002C58BC"/>
    <w:rsid w:val="002D5B63"/>
    <w:rsid w:val="002D62DC"/>
    <w:rsid w:val="002E0BA7"/>
    <w:rsid w:val="002E2305"/>
    <w:rsid w:val="002E3FEE"/>
    <w:rsid w:val="002F17C7"/>
    <w:rsid w:val="002F5718"/>
    <w:rsid w:val="00301D0E"/>
    <w:rsid w:val="00302A4F"/>
    <w:rsid w:val="003068E1"/>
    <w:rsid w:val="00307749"/>
    <w:rsid w:val="003128C5"/>
    <w:rsid w:val="003143FA"/>
    <w:rsid w:val="0031786A"/>
    <w:rsid w:val="00321F1A"/>
    <w:rsid w:val="00324C95"/>
    <w:rsid w:val="00326403"/>
    <w:rsid w:val="003328AD"/>
    <w:rsid w:val="003342B2"/>
    <w:rsid w:val="00336C9D"/>
    <w:rsid w:val="003371DF"/>
    <w:rsid w:val="0034301F"/>
    <w:rsid w:val="003501F9"/>
    <w:rsid w:val="00355D89"/>
    <w:rsid w:val="0035756F"/>
    <w:rsid w:val="00371BC0"/>
    <w:rsid w:val="00372959"/>
    <w:rsid w:val="00377592"/>
    <w:rsid w:val="0038071C"/>
    <w:rsid w:val="003955AA"/>
    <w:rsid w:val="003D7A21"/>
    <w:rsid w:val="00403030"/>
    <w:rsid w:val="00404BC1"/>
    <w:rsid w:val="00404F1B"/>
    <w:rsid w:val="00414889"/>
    <w:rsid w:val="00420EE1"/>
    <w:rsid w:val="00421A15"/>
    <w:rsid w:val="00432263"/>
    <w:rsid w:val="004328F8"/>
    <w:rsid w:val="00442987"/>
    <w:rsid w:val="004452EA"/>
    <w:rsid w:val="00451FE8"/>
    <w:rsid w:val="00452C6A"/>
    <w:rsid w:val="00454880"/>
    <w:rsid w:val="004557EA"/>
    <w:rsid w:val="00457983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C0D46"/>
    <w:rsid w:val="004C7171"/>
    <w:rsid w:val="004C7203"/>
    <w:rsid w:val="004D04C0"/>
    <w:rsid w:val="004D35BE"/>
    <w:rsid w:val="004E1F13"/>
    <w:rsid w:val="004E306C"/>
    <w:rsid w:val="004E7BC5"/>
    <w:rsid w:val="004F11E5"/>
    <w:rsid w:val="004F2DAE"/>
    <w:rsid w:val="004F4ED9"/>
    <w:rsid w:val="004F59C3"/>
    <w:rsid w:val="00500119"/>
    <w:rsid w:val="00500284"/>
    <w:rsid w:val="00514072"/>
    <w:rsid w:val="00525489"/>
    <w:rsid w:val="00525ACE"/>
    <w:rsid w:val="0052606B"/>
    <w:rsid w:val="00531377"/>
    <w:rsid w:val="00531C27"/>
    <w:rsid w:val="005331F9"/>
    <w:rsid w:val="00535CE9"/>
    <w:rsid w:val="00537BC6"/>
    <w:rsid w:val="00550792"/>
    <w:rsid w:val="00555492"/>
    <w:rsid w:val="005568C4"/>
    <w:rsid w:val="00571F74"/>
    <w:rsid w:val="005751D9"/>
    <w:rsid w:val="00581C42"/>
    <w:rsid w:val="005923E2"/>
    <w:rsid w:val="00593088"/>
    <w:rsid w:val="005937E9"/>
    <w:rsid w:val="005944E3"/>
    <w:rsid w:val="005949AB"/>
    <w:rsid w:val="00595966"/>
    <w:rsid w:val="0059723A"/>
    <w:rsid w:val="005B788E"/>
    <w:rsid w:val="005D32F4"/>
    <w:rsid w:val="005D4958"/>
    <w:rsid w:val="005D4F5A"/>
    <w:rsid w:val="005D692A"/>
    <w:rsid w:val="005E4E38"/>
    <w:rsid w:val="005F1084"/>
    <w:rsid w:val="005F3F1F"/>
    <w:rsid w:val="005F4815"/>
    <w:rsid w:val="006014DE"/>
    <w:rsid w:val="00602209"/>
    <w:rsid w:val="00603C65"/>
    <w:rsid w:val="006051C6"/>
    <w:rsid w:val="00615325"/>
    <w:rsid w:val="00616123"/>
    <w:rsid w:val="00621FF2"/>
    <w:rsid w:val="00622320"/>
    <w:rsid w:val="006324F1"/>
    <w:rsid w:val="00632CFA"/>
    <w:rsid w:val="00633676"/>
    <w:rsid w:val="006415DE"/>
    <w:rsid w:val="00641E73"/>
    <w:rsid w:val="006428EB"/>
    <w:rsid w:val="00644135"/>
    <w:rsid w:val="00645A83"/>
    <w:rsid w:val="00651FF9"/>
    <w:rsid w:val="006529F4"/>
    <w:rsid w:val="00667242"/>
    <w:rsid w:val="00667B62"/>
    <w:rsid w:val="00672C51"/>
    <w:rsid w:val="00673DD2"/>
    <w:rsid w:val="00681E91"/>
    <w:rsid w:val="0068371D"/>
    <w:rsid w:val="00684794"/>
    <w:rsid w:val="00696999"/>
    <w:rsid w:val="006A334F"/>
    <w:rsid w:val="006A50EB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6F572B"/>
    <w:rsid w:val="00711BD8"/>
    <w:rsid w:val="007235FD"/>
    <w:rsid w:val="00725947"/>
    <w:rsid w:val="00731D52"/>
    <w:rsid w:val="00732A57"/>
    <w:rsid w:val="00733414"/>
    <w:rsid w:val="007520A8"/>
    <w:rsid w:val="00753072"/>
    <w:rsid w:val="00754C00"/>
    <w:rsid w:val="007558A0"/>
    <w:rsid w:val="00767EA6"/>
    <w:rsid w:val="00777E3D"/>
    <w:rsid w:val="00780BD4"/>
    <w:rsid w:val="007A270F"/>
    <w:rsid w:val="007B76E1"/>
    <w:rsid w:val="007B7916"/>
    <w:rsid w:val="007B7E64"/>
    <w:rsid w:val="007C3055"/>
    <w:rsid w:val="007C537B"/>
    <w:rsid w:val="007D21F2"/>
    <w:rsid w:val="007D7204"/>
    <w:rsid w:val="007E7F42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DEE"/>
    <w:rsid w:val="0083011C"/>
    <w:rsid w:val="00831EC4"/>
    <w:rsid w:val="008458E6"/>
    <w:rsid w:val="0086088D"/>
    <w:rsid w:val="0086610F"/>
    <w:rsid w:val="00870D3F"/>
    <w:rsid w:val="0088279D"/>
    <w:rsid w:val="00883619"/>
    <w:rsid w:val="00883C3D"/>
    <w:rsid w:val="00890BE5"/>
    <w:rsid w:val="008A6243"/>
    <w:rsid w:val="008A6720"/>
    <w:rsid w:val="008A672D"/>
    <w:rsid w:val="008B1545"/>
    <w:rsid w:val="008C029B"/>
    <w:rsid w:val="008C1B20"/>
    <w:rsid w:val="008D30A7"/>
    <w:rsid w:val="008E702F"/>
    <w:rsid w:val="008F2B1F"/>
    <w:rsid w:val="008F5D89"/>
    <w:rsid w:val="008F6906"/>
    <w:rsid w:val="0090052A"/>
    <w:rsid w:val="009041F2"/>
    <w:rsid w:val="00907920"/>
    <w:rsid w:val="00921737"/>
    <w:rsid w:val="0092719F"/>
    <w:rsid w:val="00927FDA"/>
    <w:rsid w:val="00932D0F"/>
    <w:rsid w:val="00935A80"/>
    <w:rsid w:val="00935AE4"/>
    <w:rsid w:val="009431DC"/>
    <w:rsid w:val="00950D1C"/>
    <w:rsid w:val="0095393F"/>
    <w:rsid w:val="00956407"/>
    <w:rsid w:val="009624E2"/>
    <w:rsid w:val="009644DA"/>
    <w:rsid w:val="00964D7F"/>
    <w:rsid w:val="009676A5"/>
    <w:rsid w:val="0097125B"/>
    <w:rsid w:val="009732D5"/>
    <w:rsid w:val="00997F95"/>
    <w:rsid w:val="009A7350"/>
    <w:rsid w:val="009B0EF2"/>
    <w:rsid w:val="009B20B0"/>
    <w:rsid w:val="009B60E8"/>
    <w:rsid w:val="009C139F"/>
    <w:rsid w:val="009C2095"/>
    <w:rsid w:val="009C7C49"/>
    <w:rsid w:val="009D0117"/>
    <w:rsid w:val="009D01CE"/>
    <w:rsid w:val="009D0ED3"/>
    <w:rsid w:val="009D4043"/>
    <w:rsid w:val="009D56DD"/>
    <w:rsid w:val="009D61C0"/>
    <w:rsid w:val="009E0767"/>
    <w:rsid w:val="009E5ED8"/>
    <w:rsid w:val="009E6609"/>
    <w:rsid w:val="009F2C27"/>
    <w:rsid w:val="009F67C1"/>
    <w:rsid w:val="00A00563"/>
    <w:rsid w:val="00A00EBE"/>
    <w:rsid w:val="00A01F1F"/>
    <w:rsid w:val="00A07AF1"/>
    <w:rsid w:val="00A12740"/>
    <w:rsid w:val="00A12EE2"/>
    <w:rsid w:val="00A1499A"/>
    <w:rsid w:val="00A24867"/>
    <w:rsid w:val="00A24A14"/>
    <w:rsid w:val="00A27AA2"/>
    <w:rsid w:val="00A363B9"/>
    <w:rsid w:val="00A37BA1"/>
    <w:rsid w:val="00A41B49"/>
    <w:rsid w:val="00A47587"/>
    <w:rsid w:val="00A502C5"/>
    <w:rsid w:val="00A637A4"/>
    <w:rsid w:val="00A6432B"/>
    <w:rsid w:val="00A71109"/>
    <w:rsid w:val="00A9500F"/>
    <w:rsid w:val="00AA74AE"/>
    <w:rsid w:val="00AB572B"/>
    <w:rsid w:val="00AB7A21"/>
    <w:rsid w:val="00AC18C8"/>
    <w:rsid w:val="00AC2A7A"/>
    <w:rsid w:val="00AD0375"/>
    <w:rsid w:val="00AD4515"/>
    <w:rsid w:val="00AE0DB8"/>
    <w:rsid w:val="00AE6A2C"/>
    <w:rsid w:val="00AE78FC"/>
    <w:rsid w:val="00AF2C5C"/>
    <w:rsid w:val="00AF4B8E"/>
    <w:rsid w:val="00AF6BE8"/>
    <w:rsid w:val="00B0079F"/>
    <w:rsid w:val="00B01727"/>
    <w:rsid w:val="00B01E2C"/>
    <w:rsid w:val="00B04A67"/>
    <w:rsid w:val="00B070FF"/>
    <w:rsid w:val="00B07301"/>
    <w:rsid w:val="00B10993"/>
    <w:rsid w:val="00B16DBA"/>
    <w:rsid w:val="00B30860"/>
    <w:rsid w:val="00B3618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A5BEC"/>
    <w:rsid w:val="00BB2824"/>
    <w:rsid w:val="00BB2CE6"/>
    <w:rsid w:val="00BB68A8"/>
    <w:rsid w:val="00BC10CB"/>
    <w:rsid w:val="00BC3954"/>
    <w:rsid w:val="00BD4390"/>
    <w:rsid w:val="00BE4ADD"/>
    <w:rsid w:val="00BE7EB8"/>
    <w:rsid w:val="00BF1B98"/>
    <w:rsid w:val="00BF303D"/>
    <w:rsid w:val="00BF5A2B"/>
    <w:rsid w:val="00C0048A"/>
    <w:rsid w:val="00C1728D"/>
    <w:rsid w:val="00C2038C"/>
    <w:rsid w:val="00C314E2"/>
    <w:rsid w:val="00C33FB5"/>
    <w:rsid w:val="00C427B4"/>
    <w:rsid w:val="00C45BFC"/>
    <w:rsid w:val="00C469F9"/>
    <w:rsid w:val="00C56FFD"/>
    <w:rsid w:val="00C634CB"/>
    <w:rsid w:val="00C654B3"/>
    <w:rsid w:val="00C66197"/>
    <w:rsid w:val="00C67A01"/>
    <w:rsid w:val="00C8023F"/>
    <w:rsid w:val="00C83159"/>
    <w:rsid w:val="00C90742"/>
    <w:rsid w:val="00C92FD1"/>
    <w:rsid w:val="00C97786"/>
    <w:rsid w:val="00CA41EF"/>
    <w:rsid w:val="00CA5DB2"/>
    <w:rsid w:val="00CA7796"/>
    <w:rsid w:val="00CB5EF3"/>
    <w:rsid w:val="00CB62ED"/>
    <w:rsid w:val="00CC2738"/>
    <w:rsid w:val="00CC4FB8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CF63F1"/>
    <w:rsid w:val="00D01D4B"/>
    <w:rsid w:val="00D03AE2"/>
    <w:rsid w:val="00D05598"/>
    <w:rsid w:val="00D07EEC"/>
    <w:rsid w:val="00D10311"/>
    <w:rsid w:val="00D14AA7"/>
    <w:rsid w:val="00D16833"/>
    <w:rsid w:val="00D30742"/>
    <w:rsid w:val="00D33793"/>
    <w:rsid w:val="00D3626C"/>
    <w:rsid w:val="00D36B98"/>
    <w:rsid w:val="00D42787"/>
    <w:rsid w:val="00D47DF7"/>
    <w:rsid w:val="00D53AC5"/>
    <w:rsid w:val="00D604DF"/>
    <w:rsid w:val="00D619EA"/>
    <w:rsid w:val="00D6295B"/>
    <w:rsid w:val="00D67B19"/>
    <w:rsid w:val="00D74F1C"/>
    <w:rsid w:val="00D75079"/>
    <w:rsid w:val="00D82CEE"/>
    <w:rsid w:val="00D862E2"/>
    <w:rsid w:val="00D93C57"/>
    <w:rsid w:val="00D978A0"/>
    <w:rsid w:val="00DA62AE"/>
    <w:rsid w:val="00DB7ED7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26770"/>
    <w:rsid w:val="00E338F8"/>
    <w:rsid w:val="00E41531"/>
    <w:rsid w:val="00E446ED"/>
    <w:rsid w:val="00E55E6A"/>
    <w:rsid w:val="00E62FF9"/>
    <w:rsid w:val="00E66763"/>
    <w:rsid w:val="00E67272"/>
    <w:rsid w:val="00E7312B"/>
    <w:rsid w:val="00E751CF"/>
    <w:rsid w:val="00E764F1"/>
    <w:rsid w:val="00E857B1"/>
    <w:rsid w:val="00E877CC"/>
    <w:rsid w:val="00E91560"/>
    <w:rsid w:val="00E91B08"/>
    <w:rsid w:val="00E949FD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7D6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81282"/>
    <w:rsid w:val="00F82193"/>
    <w:rsid w:val="00F8303E"/>
    <w:rsid w:val="00F90F33"/>
    <w:rsid w:val="00F963AB"/>
    <w:rsid w:val="00FA260C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967A-5EA7-408E-8106-FF3FF34D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5</Pages>
  <Words>2473</Words>
  <Characters>1411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259</cp:revision>
  <cp:lastPrinted>2011-09-17T17:04:00Z</cp:lastPrinted>
  <dcterms:created xsi:type="dcterms:W3CDTF">2010-08-03T12:07:00Z</dcterms:created>
  <dcterms:modified xsi:type="dcterms:W3CDTF">2011-11-27T18:53:00Z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