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rPr>
          <w:b/>
          <w:sz w:val="28"/>
        </w:rPr>
        <w:t>КАДАСТРОВЫЙ ПЛАН</w:t>
      </w:r>
    </w:p>
    <w:p>
      <w:r>
        <w:rPr>
          <w:b/>
        </w:rPr>
        <w:t>Национальное агентство публичного реестра Грузии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Кадастровый код</w:t>
            </w:r>
          </w:p>
        </w:tc>
        <w:tc>
          <w:tcPr>
            <w:tcW w:type="dxa" w:w="5128"/>
          </w:tcPr>
          <w:p>
            <w:r>
              <w:t>05.34.23.837</w:t>
            </w:r>
          </w:p>
        </w:tc>
      </w:tr>
      <w:tr>
        <w:tc>
          <w:tcPr>
            <w:tcW w:type="dxa" w:w="5128"/>
          </w:tcPr>
          <w:p>
            <w:r>
              <w:t>Номер заявления</w:t>
            </w:r>
          </w:p>
        </w:tc>
        <w:tc>
          <w:tcPr>
            <w:tcW w:type="dxa" w:w="5128"/>
          </w:tcPr>
          <w:p>
            <w:r>
              <w:t>882026693709</w:t>
            </w:r>
          </w:p>
        </w:tc>
      </w:tr>
      <w:tr>
        <w:tc>
          <w:tcPr>
            <w:tcW w:type="dxa" w:w="5128"/>
          </w:tcPr>
          <w:p>
            <w:r>
              <w:t>Дата подготовки</w:t>
            </w:r>
          </w:p>
        </w:tc>
        <w:tc>
          <w:tcPr>
            <w:tcW w:type="dxa" w:w="5128"/>
          </w:tcPr>
          <w:p>
            <w:r>
              <w:t>05.08.2026</w:t>
            </w:r>
          </w:p>
        </w:tc>
      </w:tr>
      <w:tr>
        <w:tc>
          <w:tcPr>
            <w:tcW w:type="dxa" w:w="5128"/>
          </w:tcPr>
          <w:p>
            <w:r>
              <w:t>Назначение участка</w:t>
            </w:r>
          </w:p>
        </w:tc>
        <w:tc>
          <w:tcPr>
            <w:tcW w:type="dxa" w:w="5128"/>
          </w:tcPr>
          <w:p>
            <w:r>
              <w:t>Несельскохозяйственное</w:t>
            </w:r>
          </w:p>
        </w:tc>
      </w:tr>
      <w:tr>
        <w:tc>
          <w:tcPr>
            <w:tcW w:type="dxa" w:w="5128"/>
          </w:tcPr>
          <w:p>
            <w:r>
              <w:t>Площадь</w:t>
            </w:r>
          </w:p>
        </w:tc>
        <w:tc>
          <w:tcPr>
            <w:tcW w:type="dxa" w:w="5128"/>
          </w:tcPr>
          <w:p>
            <w:r>
              <w:t>1309 кв. м (WGS 84 / UTM, зона 38N); 1308 кв. м (WGS 84 / UTM, зона 37N)</w:t>
            </w:r>
          </w:p>
        </w:tc>
      </w:tr>
      <w:tr>
        <w:tc>
          <w:tcPr>
            <w:tcW w:type="dxa" w:w="5128"/>
          </w:tcPr>
          <w:p>
            <w:r>
              <w:t>Площадь обременения</w:t>
            </w:r>
          </w:p>
        </w:tc>
        <w:tc>
          <w:tcPr>
            <w:tcW w:type="dxa" w:w="5128"/>
          </w:tcPr>
          <w:p>
            <w:r>
              <w:t>97 кв. м (WGS 84 / UTM, зона 38N); 97 кв. м (WGS 84 / UTM, зона 37N)</w:t>
            </w:r>
          </w:p>
        </w:tc>
      </w:tr>
    </w:tbl>
    <w:p>
      <w:r>
        <w:rPr>
          <w:b w:val="0"/>
        </w:rPr>
        <w:t>Условные обозначения: граница участка; строящееся сооружение; построенное сооружение; подземное сооружение; линейное сооружение; лесной фонд; обременение; ветрозащитная полоса.</w:t>
      </w:r>
    </w:p>
    <w:p>
      <w:r>
        <w:rPr>
          <w:b w:val="0"/>
        </w:rPr>
        <w:t>Графическая часть кадастрового плана сохранена без перевода в виде оригинального листа документа.</w:t>
      </w:r>
    </w:p>
    <w:p>
      <w:r>
        <w:rPr>
          <w:b w:val="0"/>
        </w:rPr>
        <w:t>Национальное агентство публичного реестра: г. Тбилиси, ул. Вахтанга Горгасали, 22; тел. (995 32) 2 25 15 28; http://napr.gov.ge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