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Guide to contract templates</w:t>
      </w:r>
    </w:p>
    <w:p>
      <w:r>
        <w:t>Owner: Legal (Karen Legal). Version 2026-06.</w:t>
      </w:r>
    </w:p>
    <w:p>
      <w:pPr>
        <w:pStyle w:val="Heading1"/>
      </w:pPr>
      <w:r>
        <w:t>Templates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Template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t>Master service agreement (MSA)</w:t>
            </w:r>
          </w:p>
        </w:tc>
        <w:tc>
          <w:tcPr>
            <w:tcW w:type="dxa" w:w="4320"/>
          </w:tcPr>
          <w:p>
            <w:r>
              <w:t>Framework for all customers</w:t>
            </w:r>
          </w:p>
        </w:tc>
      </w:tr>
      <w:tr>
        <w:tc>
          <w:tcPr>
            <w:tcW w:type="dxa" w:w="4320"/>
          </w:tcPr>
          <w:p>
            <w:r>
              <w:t>Order form</w:t>
            </w:r>
          </w:p>
        </w:tc>
        <w:tc>
          <w:tcPr>
            <w:tcW w:type="dxa" w:w="4320"/>
          </w:tcPr>
          <w:p>
            <w:r>
              <w:t>Specific plan, users, price and term</w:t>
            </w:r>
          </w:p>
        </w:tc>
      </w:tr>
      <w:tr>
        <w:tc>
          <w:tcPr>
            <w:tcW w:type="dxa" w:w="4320"/>
          </w:tcPr>
          <w:p>
            <w:r>
              <w:t>Data processing agreement (DPA)</w:t>
            </w:r>
          </w:p>
        </w:tc>
        <w:tc>
          <w:tcPr>
            <w:tcW w:type="dxa" w:w="4320"/>
          </w:tcPr>
          <w:p>
            <w:r>
              <w:t>Required whenever we process personal data of the customer</w:t>
            </w:r>
          </w:p>
        </w:tc>
      </w:tr>
      <w:tr>
        <w:tc>
          <w:tcPr>
            <w:tcW w:type="dxa" w:w="4320"/>
          </w:tcPr>
          <w:p>
            <w:r>
              <w:t>Mutual NDA</w:t>
            </w:r>
          </w:p>
        </w:tc>
        <w:tc>
          <w:tcPr>
            <w:tcW w:type="dxa" w:w="4320"/>
          </w:tcPr>
          <w:p>
            <w:r>
              <w:t>Before sharing non-public information</w:t>
            </w:r>
          </w:p>
        </w:tc>
      </w:tr>
      <w:tr>
        <w:tc>
          <w:tcPr>
            <w:tcW w:type="dxa" w:w="4320"/>
          </w:tcPr>
          <w:p>
            <w:r>
              <w:t>Contractor agreement</w:t>
            </w:r>
          </w:p>
        </w:tc>
        <w:tc>
          <w:tcPr>
            <w:tcW w:type="dxa" w:w="4320"/>
          </w:tcPr>
          <w:p>
            <w:r>
              <w:t>Independent contractors</w:t>
            </w:r>
          </w:p>
        </w:tc>
      </w:tr>
    </w:tbl>
    <w:p/>
    <w:p>
      <w:pPr>
        <w:pStyle w:val="Heading1"/>
      </w:pPr>
      <w:r>
        <w:t>Standard positions</w:t>
      </w:r>
    </w:p>
    <w:p>
      <w:pPr>
        <w:pStyle w:val="ListBullet"/>
      </w:pPr>
      <w:r>
        <w:t>Payment terms: net 30 days.</w:t>
      </w:r>
    </w:p>
    <w:p>
      <w:pPr>
        <w:pStyle w:val="ListBullet"/>
      </w:pPr>
      <w:r>
        <w:t>Liability cap: 12 months of fees paid under the contract.</w:t>
      </w:r>
    </w:p>
    <w:p>
      <w:pPr>
        <w:pStyle w:val="ListBullet"/>
      </w:pPr>
      <w:r>
        <w:t>Term: 12 months, renewing automatically for 12 months unless either party gives 60 days' notice.</w:t>
      </w:r>
    </w:p>
    <w:p>
      <w:pPr>
        <w:pStyle w:val="ListBullet"/>
      </w:pPr>
      <w:r>
        <w:t>Governing law: Ukrainian law for Ukrainian customers; for other customers the laws of Poland with the courts in Krakow.</w:t>
      </w:r>
    </w:p>
    <w:p>
      <w:pPr>
        <w:pStyle w:val="ListBullet"/>
      </w:pPr>
      <w:r>
        <w:t>Service levels: as in the customer SLA summary for the plan.</w:t>
      </w:r>
    </w:p>
    <w:p>
      <w:pPr>
        <w:pStyle w:val="Heading1"/>
      </w:pPr>
      <w:r>
        <w:t>Deviations</w:t>
      </w:r>
    </w:p>
    <w:p>
      <w:r>
        <w:t>Any change to liability, indemnity, governing law, data location or service levels needs written review by the Legal Counsel. Allow 3 business days for review of a redline.</w:t>
      </w:r>
    </w:p>
    <w:p>
      <w:pPr>
        <w:pStyle w:val="Heading1"/>
      </w:pPr>
      <w:r>
        <w:t>Signing</w:t>
      </w:r>
    </w:p>
    <w:p>
      <w:r>
        <w:t>Contracts with a yearly value up to EUR 50,000 may be signed by the Finance Director; higher values are signed by the CEO. Signed contracts are stored in the contract repository by Legal.</w:t>
      </w:r>
    </w:p>
    <w:p>
      <w:pPr>
        <w:pStyle w:val="Heading1"/>
      </w:pPr>
      <w:r>
        <w:t>Data processing</w:t>
      </w:r>
    </w:p>
    <w:p>
      <w:r>
        <w:t>A DPA must be signed before any customer personal data is processed. Sub-processors are listed on the Contoso trust page and customers receive 30 days' notice of changes.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to contract templates</dc:title>
  <dc:subject/>
  <dc:creator>Contoso Software (mock fixture)</dc:creator>
  <cp:keywords/>
  <dc:description/>
  <cp:lastModifiedBy>Contoso Software (mock fixture)</cp:lastModifiedBy>
  <cp:revision>1</cp:revision>
  <dcterms:created xsi:type="dcterms:W3CDTF">2026-01-15T09:00:00Z</dcterms:created>
  <dcterms:modified xsi:type="dcterms:W3CDTF">2026-01-15T09:00:00Z</dcterms:modified>
  <cp:category/>
</cp:coreProperties>
</file>