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96B1B" w:rsidRDefault="009E368C" w:rsidP="00496B1B">
      <w:pPr>
        <w:pStyle w:val="a3"/>
        <w:jc w:val="center"/>
        <w:rPr>
          <w:sz w:val="40"/>
          <w:szCs w:val="40"/>
        </w:rPr>
      </w:pPr>
      <w:r w:rsidRPr="00496B1B">
        <w:rPr>
          <w:sz w:val="40"/>
          <w:szCs w:val="40"/>
        </w:rPr>
        <w:t>Вариация критической энергии в применении к ускорительному комплексу NICA.</w:t>
      </w:r>
    </w:p>
    <w:p w:rsidR="00D814A8" w:rsidRDefault="00D814A8" w:rsidP="00496B1B"/>
    <w:p w:rsidR="00496B1B" w:rsidRDefault="00D814A8" w:rsidP="00F24186">
      <w:r>
        <w:t>Аннотация</w:t>
      </w:r>
      <w:r w:rsidRPr="00D814A8">
        <w:t xml:space="preserve">: </w:t>
      </w:r>
      <w:r w:rsidRPr="00D814A8">
        <w:t xml:space="preserve">Критическая энергия является важным параметром, определяющим работу ускорителя. Для сохранения устойчивости пучка при прохождении критической энергии используются 2 основных метода: повышение критической энергии и скачкообразное прохождение через критическую энергию. В данной статье рассматривается метод повышения критической энергии в структуре </w:t>
      </w:r>
      <w:proofErr w:type="spellStart"/>
      <w:r w:rsidRPr="00D814A8">
        <w:t>коллайдера</w:t>
      </w:r>
      <w:proofErr w:type="spellEnd"/>
      <w:r w:rsidRPr="00D814A8">
        <w:t xml:space="preserve"> NICA для эксперимента по столкновению поляризованного протонного и </w:t>
      </w:r>
      <w:proofErr w:type="spellStart"/>
      <w:r w:rsidRPr="00D814A8">
        <w:t>дейтронного</w:t>
      </w:r>
      <w:proofErr w:type="spellEnd"/>
      <w:r w:rsidRPr="00D814A8">
        <w:t xml:space="preserve"> пучков.</w:t>
      </w:r>
    </w:p>
    <w:p w:rsidR="00D814A8" w:rsidRDefault="00D814A8" w:rsidP="00496B1B"/>
    <w:p w:rsidR="00D814A8" w:rsidRPr="00F24186" w:rsidRDefault="00F24186" w:rsidP="00F24186">
      <w:pPr>
        <w:pStyle w:val="a5"/>
        <w:numPr>
          <w:ilvl w:val="0"/>
          <w:numId w:val="1"/>
        </w:numPr>
        <w:rPr>
          <w:lang w:val="en-US"/>
        </w:rPr>
      </w:pPr>
      <w:r>
        <w:t>Введение</w:t>
      </w:r>
    </w:p>
    <w:p w:rsidR="00F24186" w:rsidRPr="00F24186" w:rsidRDefault="00F24186" w:rsidP="00F24186"/>
    <w:p w:rsidR="00D814A8" w:rsidRDefault="00F24186" w:rsidP="006579B2">
      <w:pPr>
        <w:ind w:firstLine="360"/>
      </w:pPr>
      <w:r>
        <w:t xml:space="preserve">Ускорительный комплекс </w:t>
      </w:r>
      <w:proofErr w:type="spellStart"/>
      <w:r>
        <w:t>коллайдера</w:t>
      </w:r>
      <w:proofErr w:type="spellEnd"/>
      <w:r>
        <w:t xml:space="preserve"> </w:t>
      </w:r>
      <w:r>
        <w:rPr>
          <w:lang w:val="en-US"/>
        </w:rPr>
        <w:t>NICA</w:t>
      </w:r>
      <w:r w:rsidRPr="00F24186">
        <w:t xml:space="preserve"> </w:t>
      </w:r>
      <w:r>
        <w:t xml:space="preserve">изначально проектировался с возможностью реализации </w:t>
      </w:r>
      <w:r w:rsidR="006579B2">
        <w:t xml:space="preserve">экспериментов по столкновению тяжелых ионов, но также имеется возможность </w:t>
      </w:r>
      <w:proofErr w:type="spellStart"/>
      <w:r w:rsidR="006579B2">
        <w:t>эффектовного</w:t>
      </w:r>
      <w:proofErr w:type="spellEnd"/>
      <w:r w:rsidR="006579B2">
        <w:t xml:space="preserve"> ускорения протонов и дейтронов для реализации поляризованной программы. </w:t>
      </w:r>
    </w:p>
    <w:p w:rsidR="00BD3AE7" w:rsidRPr="00350F89" w:rsidRDefault="006579B2" w:rsidP="00BD3AE7">
      <w:pPr>
        <w:rPr>
          <w:rFonts w:eastAsiaTheme="minorEastAsia"/>
          <w:i/>
          <w:lang w:val="en-US"/>
        </w:rPr>
      </w:pPr>
      <w:r>
        <w:tab/>
      </w:r>
      <w:r w:rsidR="00BD3AE7">
        <w:t xml:space="preserve">Критическая энергия </w:t>
      </w:r>
      <w:proofErr w:type="spellStart"/>
      <w:r w:rsidR="00BD3AE7">
        <w:t>коллайдера</w:t>
      </w:r>
      <w:proofErr w:type="spellEnd"/>
      <w:r w:rsidR="00BD3AE7">
        <w:t xml:space="preserve"> в эксперименте по </w:t>
      </w:r>
      <w:r>
        <w:t>ускорени</w:t>
      </w:r>
      <w:r w:rsidR="00BD3AE7">
        <w:t xml:space="preserve">ю </w:t>
      </w:r>
      <w:r>
        <w:t xml:space="preserve">тяжелых ионов золота </w:t>
      </w:r>
      <w:r>
        <w:rPr>
          <w:lang w:val="en-US"/>
        </w:rPr>
        <w:t>Au</w:t>
      </w:r>
      <w:r w:rsidR="00BD3AE7">
        <w:t xml:space="preserve"> равно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γ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tr</m:t>
            </m:r>
          </m:sub>
          <m:sup>
            <m:r>
              <w:rPr>
                <w:rFonts w:ascii="Cambria Math" w:hAnsi="Cambria Math"/>
              </w:rPr>
              <m:t>Au-Au</m:t>
            </m:r>
          </m:sup>
        </m:sSubSup>
        <m:r>
          <w:rPr>
            <w:rFonts w:ascii="Cambria Math" w:hAnsi="Cambria Math"/>
          </w:rPr>
          <m:t>=</m:t>
        </m:r>
      </m:oMath>
    </w:p>
    <w:p w:rsidR="00BD3AE7" w:rsidRPr="00BD3AE7" w:rsidRDefault="00BD3AE7" w:rsidP="00BD3AE7">
      <w:pPr>
        <w:rPr>
          <w:rFonts w:eastAsiaTheme="minorEastAsia"/>
        </w:rPr>
      </w:pPr>
    </w:p>
    <w:p w:rsidR="006579B2" w:rsidRPr="00BD3AE7" w:rsidRDefault="006579B2" w:rsidP="00496B1B">
      <w:pPr>
        <w:rPr>
          <w:rFonts w:eastAsiaTheme="minorEastAsia"/>
        </w:rPr>
      </w:pPr>
    </w:p>
    <w:p w:rsidR="00BD3AE7" w:rsidRPr="00BD3AE7" w:rsidRDefault="00BD3AE7" w:rsidP="00496B1B">
      <w:pPr>
        <w:rPr>
          <w:rFonts w:eastAsiaTheme="minorEastAsia"/>
        </w:rPr>
      </w:pPr>
    </w:p>
    <w:p w:rsidR="006579B2" w:rsidRDefault="006579B2" w:rsidP="00496B1B"/>
    <w:p w:rsidR="006579B2" w:rsidRDefault="006579B2" w:rsidP="00496B1B"/>
    <w:p w:rsidR="006579B2" w:rsidRDefault="006579B2" w:rsidP="006579B2">
      <w:pPr>
        <w:pStyle w:val="a5"/>
        <w:numPr>
          <w:ilvl w:val="0"/>
          <w:numId w:val="1"/>
        </w:numPr>
      </w:pPr>
      <w:r w:rsidRPr="006579B2">
        <w:t xml:space="preserve">Модуляция дисперсионной функции в </w:t>
      </w:r>
      <w:proofErr w:type="spellStart"/>
      <w:r w:rsidRPr="006579B2">
        <w:t>суперпероде</w:t>
      </w:r>
      <w:proofErr w:type="spellEnd"/>
    </w:p>
    <w:p w:rsidR="006579B2" w:rsidRDefault="006579B2" w:rsidP="006579B2"/>
    <w:p w:rsidR="006579B2" w:rsidRPr="006579B2" w:rsidRDefault="006579B2" w:rsidP="006579B2"/>
    <w:sectPr w:rsidR="006579B2" w:rsidRPr="006579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B852CB3"/>
    <w:multiLevelType w:val="hybridMultilevel"/>
    <w:tmpl w:val="BC98C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163"/>
    <w:rsid w:val="00350F89"/>
    <w:rsid w:val="00496B1B"/>
    <w:rsid w:val="00553163"/>
    <w:rsid w:val="006579B2"/>
    <w:rsid w:val="009E368C"/>
    <w:rsid w:val="00BD3AE7"/>
    <w:rsid w:val="00D814A8"/>
    <w:rsid w:val="00DA15F9"/>
    <w:rsid w:val="00F24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9B756B"/>
  <w15:chartTrackingRefBased/>
  <w15:docId w15:val="{1FE9F306-DC81-E54D-AE21-3F09D1FE6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368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36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9E36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3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F24186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BD3AE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999968-9277-454D-89E7-76FCBD7AD5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2020-09-30T08:52:00Z</dcterms:created>
  <dcterms:modified xsi:type="dcterms:W3CDTF">2020-10-01T18:10:00Z</dcterms:modified>
</cp:coreProperties>
</file>