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38537" w14:textId="4630E9C8" w:rsidR="003100A0" w:rsidRDefault="00C72E9B">
      <w:pPr>
        <w:rPr>
          <w:lang w:val="en-US"/>
        </w:rPr>
      </w:pPr>
      <w:r>
        <w:rPr>
          <w:lang w:val="en-US"/>
        </w:rPr>
        <w:t xml:space="preserve">Spin Coherence Time Optimization by </w:t>
      </w:r>
      <w:r w:rsidR="003100A0">
        <w:rPr>
          <w:lang w:val="en-US"/>
        </w:rPr>
        <w:t>M</w:t>
      </w:r>
      <w:r>
        <w:rPr>
          <w:lang w:val="en-US"/>
        </w:rPr>
        <w:t xml:space="preserve">apping </w:t>
      </w:r>
      <w:r w:rsidR="003100A0">
        <w:rPr>
          <w:lang w:val="en-US"/>
        </w:rPr>
        <w:t>M</w:t>
      </w:r>
      <w:r>
        <w:rPr>
          <w:lang w:val="en-US"/>
        </w:rPr>
        <w:t>ethod</w:t>
      </w:r>
      <w:r>
        <w:rPr>
          <w:lang w:val="en-US"/>
        </w:rPr>
        <w:br/>
      </w:r>
      <w:r>
        <w:rPr>
          <w:lang w:val="en-US"/>
        </w:rPr>
        <w:br/>
      </w:r>
      <w:r w:rsidR="003100A0" w:rsidRPr="003100A0">
        <w:rPr>
          <w:lang w:val="en-US"/>
        </w:rPr>
        <w:t>A sufficiently</w:t>
      </w:r>
      <w:r w:rsidR="003100A0">
        <w:rPr>
          <w:lang w:val="en-US"/>
        </w:rPr>
        <w:t xml:space="preserve"> </w:t>
      </w:r>
      <w:r w:rsidR="003100A0" w:rsidRPr="003100A0">
        <w:rPr>
          <w:lang w:val="en-US"/>
        </w:rPr>
        <w:t>long Spin Coherence Time (SCT) is a fundamental requirement for precision measurements of the electric dipole moment (EDM) of charged particles in storage rings. SCT optimization is performed using three sextupole families that suppress second-order effects arising from emittance and momentum spread. These sextupoles are placed at the maxima of the beta functions in both planes and in regions with significant horizontal dispersion. The study examines the capability of the mapping method to simultaneously suppress spin decoherence and achieve zero chromaticity in both transverse planes in magnetic, electrostatic, and combined-function structures.</w:t>
      </w:r>
    </w:p>
    <w:p w14:paraId="7A8B25BA" w14:textId="77777777" w:rsidR="003100A0" w:rsidRDefault="003100A0">
      <w:pPr>
        <w:rPr>
          <w:lang w:val="en-US"/>
        </w:rPr>
      </w:pPr>
    </w:p>
    <w:p w14:paraId="667BF9AD" w14:textId="189A8273" w:rsidR="000D6AFA" w:rsidRDefault="00C72E9B">
      <w:pPr>
        <w:rPr>
          <w:lang w:val="en-US"/>
        </w:rPr>
      </w:pPr>
      <w:r>
        <w:rPr>
          <w:lang w:val="en-US"/>
        </w:rPr>
        <w:t>Spin Coherence Time is a main</w:t>
      </w:r>
    </w:p>
    <w:p w14:paraId="146A329F" w14:textId="7FD0B327" w:rsidR="00C72E9B" w:rsidRPr="00A107F8" w:rsidRDefault="00C72E9B" w:rsidP="00A107F8">
      <w:pPr>
        <w:autoSpaceDE w:val="0"/>
        <w:autoSpaceDN w:val="0"/>
        <w:adjustRightInd w:val="0"/>
        <w:spacing w:after="0" w:line="240" w:lineRule="auto"/>
        <w:rPr>
          <w:rFonts w:ascii="TeXGyreTermes-Regular" w:hAnsi="TeXGyreTermes-Regular" w:cs="TeXGyreTermes-Regular"/>
          <w:sz w:val="20"/>
          <w:szCs w:val="20"/>
          <w:lang w:val="en-US"/>
        </w:rPr>
      </w:pPr>
      <w:r>
        <w:t>Обеспечение</w:t>
      </w:r>
      <w:r w:rsidRPr="00AB0E80">
        <w:rPr>
          <w:lang w:val="en-US"/>
        </w:rPr>
        <w:t xml:space="preserve"> </w:t>
      </w:r>
      <w:r>
        <w:t>высокого</w:t>
      </w:r>
      <w:r w:rsidRPr="00AB0E80">
        <w:rPr>
          <w:lang w:val="en-US"/>
        </w:rPr>
        <w:t xml:space="preserve"> </w:t>
      </w:r>
      <w:r>
        <w:t>времени</w:t>
      </w:r>
      <w:r w:rsidRPr="00AB0E80">
        <w:rPr>
          <w:lang w:val="en-US"/>
        </w:rPr>
        <w:t xml:space="preserve"> </w:t>
      </w:r>
      <w:r>
        <w:t>спиновой</w:t>
      </w:r>
      <w:r w:rsidRPr="00AB0E80">
        <w:rPr>
          <w:lang w:val="en-US"/>
        </w:rPr>
        <w:t xml:space="preserve"> </w:t>
      </w:r>
      <w:r>
        <w:t>когерентности</w:t>
      </w:r>
      <w:r w:rsidRPr="00AB0E80">
        <w:rPr>
          <w:lang w:val="en-US"/>
        </w:rPr>
        <w:t xml:space="preserve"> </w:t>
      </w:r>
      <w:r>
        <w:t>является</w:t>
      </w:r>
      <w:r w:rsidRPr="00AB0E80">
        <w:rPr>
          <w:lang w:val="en-US"/>
        </w:rPr>
        <w:t xml:space="preserve"> </w:t>
      </w:r>
      <w:r>
        <w:t>необходимым</w:t>
      </w:r>
      <w:r w:rsidRPr="00AB0E80">
        <w:rPr>
          <w:lang w:val="en-US"/>
        </w:rPr>
        <w:t xml:space="preserve"> </w:t>
      </w:r>
      <w:r>
        <w:t>параметром</w:t>
      </w:r>
      <w:r w:rsidRPr="00AB0E80">
        <w:rPr>
          <w:lang w:val="en-US"/>
        </w:rPr>
        <w:t xml:space="preserve"> </w:t>
      </w:r>
      <w:r w:rsidR="00AB0E80">
        <w:t>для</w:t>
      </w:r>
      <w:r w:rsidR="00AB0E80" w:rsidRPr="00AB0E80">
        <w:rPr>
          <w:lang w:val="en-US"/>
        </w:rPr>
        <w:t xml:space="preserve"> </w:t>
      </w:r>
      <w:r w:rsidR="00AB0E80" w:rsidRPr="00AB0E80">
        <w:rPr>
          <w:rFonts w:ascii="TeXGyreTermes-Regular" w:hAnsi="TeXGyreTermes-Regular" w:cs="TeXGyreTermes-Regular"/>
          <w:sz w:val="20"/>
          <w:szCs w:val="20"/>
          <w:lang w:val="en-US"/>
        </w:rPr>
        <w:t>electric dipole moment (EDM) of charged</w:t>
      </w:r>
      <w:r w:rsidR="00AB0E80" w:rsidRPr="00AB0E80">
        <w:rPr>
          <w:rFonts w:ascii="TeXGyreTermes-Regular" w:hAnsi="TeXGyreTermes-Regular" w:cs="TeXGyreTermes-Regular"/>
          <w:sz w:val="20"/>
          <w:szCs w:val="20"/>
          <w:lang w:val="en-US"/>
        </w:rPr>
        <w:t xml:space="preserve"> </w:t>
      </w:r>
      <w:r w:rsidR="00AB0E80" w:rsidRPr="00AB0E80">
        <w:rPr>
          <w:rFonts w:ascii="TeXGyreTermes-Regular" w:hAnsi="TeXGyreTermes-Regular" w:cs="TeXGyreTermes-Regular"/>
          <w:sz w:val="20"/>
          <w:szCs w:val="20"/>
          <w:lang w:val="en-US"/>
        </w:rPr>
        <w:t>particles in storage rings.</w:t>
      </w:r>
      <w:r w:rsidR="00A107F8">
        <w:rPr>
          <w:rFonts w:ascii="TeXGyreTermes-Regular" w:hAnsi="TeXGyreTermes-Regular" w:cs="TeXGyreTermes-Regular"/>
          <w:sz w:val="20"/>
          <w:szCs w:val="20"/>
          <w:lang w:val="en-US"/>
        </w:rPr>
        <w:t xml:space="preserve"> </w:t>
      </w:r>
      <w:r>
        <w:t xml:space="preserve">Для оптимизации </w:t>
      </w:r>
      <w:r>
        <w:rPr>
          <w:lang w:val="en-US"/>
        </w:rPr>
        <w:t>SCT</w:t>
      </w:r>
      <w:r>
        <w:t xml:space="preserve"> используются три семейства секступолей для подавления</w:t>
      </w:r>
      <w:r w:rsidR="00AB0E80">
        <w:t xml:space="preserve"> </w:t>
      </w:r>
      <w:proofErr w:type="spellStart"/>
      <w:r w:rsidR="00AB0E80">
        <w:rPr>
          <w:rFonts w:ascii="TeXGyreTermes-Regular" w:hAnsi="TeXGyreTermes-Regular" w:cs="TeXGyreTermes-Regular"/>
          <w:sz w:val="20"/>
          <w:szCs w:val="20"/>
        </w:rPr>
        <w:t>second-order</w:t>
      </w:r>
      <w:proofErr w:type="spellEnd"/>
      <w:r w:rsidR="00AB0E80">
        <w:rPr>
          <w:rFonts w:ascii="TeXGyreTermes-Regular" w:hAnsi="TeXGyreTermes-Regular" w:cs="TeXGyreTermes-Regular"/>
          <w:sz w:val="20"/>
          <w:szCs w:val="20"/>
        </w:rPr>
        <w:t xml:space="preserve"> </w:t>
      </w:r>
      <w:proofErr w:type="spellStart"/>
      <w:r w:rsidR="00AB0E80">
        <w:rPr>
          <w:rFonts w:ascii="TeXGyreTermes-Regular" w:hAnsi="TeXGyreTermes-Regular" w:cs="TeXGyreTermes-Regular"/>
          <w:sz w:val="20"/>
          <w:szCs w:val="20"/>
        </w:rPr>
        <w:t>effects</w:t>
      </w:r>
      <w:proofErr w:type="spellEnd"/>
      <w:r w:rsidR="00AB0E80">
        <w:rPr>
          <w:rFonts w:ascii="TeXGyreTermes-Regular" w:hAnsi="TeXGyreTermes-Regular" w:cs="TeXGyreTermes-Regular"/>
          <w:sz w:val="20"/>
          <w:szCs w:val="20"/>
        </w:rPr>
        <w:t xml:space="preserve"> </w:t>
      </w:r>
      <w:proofErr w:type="spellStart"/>
      <w:r w:rsidR="00AB0E80">
        <w:rPr>
          <w:rFonts w:ascii="TeXGyreTermes-Regular" w:hAnsi="TeXGyreTermes-Regular" w:cs="TeXGyreTermes-Regular"/>
          <w:sz w:val="20"/>
          <w:szCs w:val="20"/>
        </w:rPr>
        <w:t>from</w:t>
      </w:r>
      <w:proofErr w:type="spellEnd"/>
      <w:r w:rsidR="00AB0E80">
        <w:rPr>
          <w:rFonts w:ascii="TeXGyreTermes-Regular" w:hAnsi="TeXGyreTermes-Regular" w:cs="TeXGyreTermes-Regular"/>
          <w:sz w:val="20"/>
          <w:szCs w:val="20"/>
        </w:rPr>
        <w:t xml:space="preserve"> </w:t>
      </w:r>
      <w:proofErr w:type="spellStart"/>
      <w:r w:rsidR="00AB0E80">
        <w:rPr>
          <w:rFonts w:ascii="TeXGyreTermes-Regular" w:hAnsi="TeXGyreTermes-Regular" w:cs="TeXGyreTermes-Regular"/>
          <w:sz w:val="20"/>
          <w:szCs w:val="20"/>
        </w:rPr>
        <w:t>emittance</w:t>
      </w:r>
      <w:proofErr w:type="spellEnd"/>
      <w:r w:rsidR="00AB0E80">
        <w:rPr>
          <w:rFonts w:ascii="TeXGyreTermes-Regular" w:hAnsi="TeXGyreTermes-Regular" w:cs="TeXGyreTermes-Regular"/>
          <w:sz w:val="20"/>
          <w:szCs w:val="20"/>
        </w:rPr>
        <w:t xml:space="preserve"> </w:t>
      </w:r>
      <w:proofErr w:type="spellStart"/>
      <w:r w:rsidR="00AB0E80">
        <w:rPr>
          <w:rFonts w:ascii="TeXGyreTermes-Regular" w:hAnsi="TeXGyreTermes-Regular" w:cs="TeXGyreTermes-Regular"/>
          <w:sz w:val="20"/>
          <w:szCs w:val="20"/>
        </w:rPr>
        <w:t>and</w:t>
      </w:r>
      <w:proofErr w:type="spellEnd"/>
      <w:r w:rsidR="00AB0E80">
        <w:rPr>
          <w:rFonts w:ascii="TeXGyreTermes-Regular" w:hAnsi="TeXGyreTermes-Regular" w:cs="TeXGyreTermes-Regular"/>
          <w:sz w:val="20"/>
          <w:szCs w:val="20"/>
        </w:rPr>
        <w:t xml:space="preserve"> </w:t>
      </w:r>
      <w:proofErr w:type="spellStart"/>
      <w:r w:rsidR="00AB0E80">
        <w:rPr>
          <w:rFonts w:ascii="TeXGyreTermes-Regular" w:hAnsi="TeXGyreTermes-Regular" w:cs="TeXGyreTermes-Regular"/>
          <w:sz w:val="20"/>
          <w:szCs w:val="20"/>
        </w:rPr>
        <w:t>momentum</w:t>
      </w:r>
      <w:proofErr w:type="spellEnd"/>
      <w:r w:rsidR="00AB0E80">
        <w:rPr>
          <w:rFonts w:ascii="TeXGyreTermes-Regular" w:hAnsi="TeXGyreTermes-Regular" w:cs="TeXGyreTermes-Regular"/>
          <w:sz w:val="20"/>
          <w:szCs w:val="20"/>
        </w:rPr>
        <w:t xml:space="preserve"> </w:t>
      </w:r>
      <w:proofErr w:type="spellStart"/>
      <w:proofErr w:type="gramStart"/>
      <w:r w:rsidR="00AB0E80">
        <w:rPr>
          <w:rFonts w:ascii="TeXGyreTermes-Regular" w:hAnsi="TeXGyreTermes-Regular" w:cs="TeXGyreTermes-Regular"/>
          <w:sz w:val="20"/>
          <w:szCs w:val="20"/>
        </w:rPr>
        <w:t>spread</w:t>
      </w:r>
      <w:proofErr w:type="spellEnd"/>
      <w:r w:rsidR="00AB0E80">
        <w:rPr>
          <w:rFonts w:ascii="TeXGyreTermes-Regular" w:hAnsi="TeXGyreTermes-Regular" w:cs="TeXGyreTermes-Regular"/>
          <w:sz w:val="20"/>
          <w:szCs w:val="20"/>
        </w:rPr>
        <w:t xml:space="preserve">  и</w:t>
      </w:r>
      <w:proofErr w:type="gramEnd"/>
      <w:r w:rsidR="00AB0E80">
        <w:rPr>
          <w:rFonts w:ascii="TeXGyreTermes-Regular" w:hAnsi="TeXGyreTermes-Regular" w:cs="TeXGyreTermes-Regular"/>
          <w:sz w:val="20"/>
          <w:szCs w:val="20"/>
        </w:rPr>
        <w:t xml:space="preserve"> </w:t>
      </w:r>
      <w:r>
        <w:t>расположенный в максимумах бета-функции в обоих плоскостях и горизонтальной дисперсии.</w:t>
      </w:r>
      <w:r w:rsidR="00A107F8" w:rsidRPr="00A107F8">
        <w:t xml:space="preserve"> </w:t>
      </w:r>
      <w:r w:rsidR="00AB0E80">
        <w:t xml:space="preserve">Исследуется возможность одновременного подавления декогеренции </w:t>
      </w:r>
      <w:r w:rsidR="00A107F8">
        <w:t xml:space="preserve">пучка и установления хроматичности в обоих </w:t>
      </w:r>
      <w:proofErr w:type="spellStart"/>
      <w:r w:rsidR="00A107F8">
        <w:t>плоскотях</w:t>
      </w:r>
      <w:proofErr w:type="spellEnd"/>
      <w:r w:rsidR="00A107F8">
        <w:t xml:space="preserve"> равными нулю </w:t>
      </w:r>
      <w:r w:rsidR="00A107F8">
        <w:rPr>
          <w:lang w:val="en-US"/>
        </w:rPr>
        <w:t>by</w:t>
      </w:r>
      <w:r w:rsidR="00A107F8" w:rsidRPr="00A107F8">
        <w:t xml:space="preserve"> </w:t>
      </w:r>
      <w:r w:rsidR="00A107F8">
        <w:rPr>
          <w:lang w:val="en-US"/>
        </w:rPr>
        <w:t>mapping</w:t>
      </w:r>
      <w:r w:rsidR="00A107F8" w:rsidRPr="00A107F8">
        <w:t xml:space="preserve"> </w:t>
      </w:r>
      <w:r w:rsidR="00A107F8">
        <w:rPr>
          <w:lang w:val="en-US"/>
        </w:rPr>
        <w:t>method</w:t>
      </w:r>
    </w:p>
    <w:p w14:paraId="696092B4" w14:textId="54BF37AA" w:rsidR="00A107F8" w:rsidRPr="003100A0" w:rsidRDefault="00A107F8">
      <w:pPr>
        <w:rPr>
          <w:rFonts w:ascii="TeXGyreTermes-Regular" w:hAnsi="TeXGyreTermes-Regular" w:cs="TeXGyreTermes-Regular"/>
          <w:sz w:val="20"/>
          <w:szCs w:val="20"/>
          <w:lang w:val="en-US"/>
        </w:rPr>
      </w:pPr>
      <w:r w:rsidRPr="00A107F8">
        <w:rPr>
          <w:rFonts w:ascii="TeXGyreTermes-Regular" w:hAnsi="TeXGyreTermes-Regular" w:cs="TeXGyreTermes-Regular"/>
          <w:sz w:val="20"/>
          <w:szCs w:val="20"/>
          <w:lang w:val="en-US"/>
        </w:rPr>
        <w:br/>
      </w:r>
      <w:r w:rsidRPr="00A107F8">
        <w:rPr>
          <w:lang w:val="en-US"/>
        </w:rPr>
        <w:t>Ensuring a high Spin Coherence Time (SCT) is a key requirement for the measurement of the electric dipole moment (EDM) of charged particles in storage rings.</w:t>
      </w:r>
      <w:r w:rsidRPr="00A107F8">
        <w:rPr>
          <w:lang w:val="en-US"/>
        </w:rPr>
        <w:br/>
        <w:t>To optimize SCT, three sextupole families are employed to suppress second-order effects arising from emittance and momentum spread, and are placed at the maxima of the beta functions in both planes as well as at locations with large horizontal dispersion.</w:t>
      </w:r>
      <w:r w:rsidRPr="00A107F8">
        <w:rPr>
          <w:lang w:val="en-US"/>
        </w:rPr>
        <w:br/>
        <w:t xml:space="preserve">The possibility of simultaneously suppressing spin decoherence and setting both horizontal and vertical </w:t>
      </w:r>
      <w:proofErr w:type="spellStart"/>
      <w:r w:rsidRPr="00A107F8">
        <w:rPr>
          <w:lang w:val="en-US"/>
        </w:rPr>
        <w:t>chromaticities</w:t>
      </w:r>
      <w:proofErr w:type="spellEnd"/>
      <w:r w:rsidRPr="00A107F8">
        <w:rPr>
          <w:lang w:val="en-US"/>
        </w:rPr>
        <w:t xml:space="preserve"> to zero by means of the mapping method is investigated.</w:t>
      </w:r>
      <w:r>
        <w:rPr>
          <w:lang w:val="en-US"/>
        </w:rPr>
        <w:br/>
      </w:r>
      <w:r>
        <w:rPr>
          <w:lang w:val="en-US"/>
        </w:rPr>
        <w:br/>
      </w:r>
    </w:p>
    <w:sectPr w:rsidR="00A107F8" w:rsidRPr="003100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eXGyreTermes-Regular">
    <w:altName w:val="Calibri"/>
    <w:panose1 w:val="00000000000000000000"/>
    <w:charset w:val="CC"/>
    <w:family w:val="auto"/>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9B"/>
    <w:rsid w:val="000D6AFA"/>
    <w:rsid w:val="003100A0"/>
    <w:rsid w:val="00360EA6"/>
    <w:rsid w:val="00A107F8"/>
    <w:rsid w:val="00AB0E80"/>
    <w:rsid w:val="00C72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0752"/>
  <w15:chartTrackingRefBased/>
  <w15:docId w15:val="{5C25D402-859E-4314-A4E8-58780D74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1589</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2</cp:revision>
  <dcterms:created xsi:type="dcterms:W3CDTF">2025-11-28T13:31:00Z</dcterms:created>
  <dcterms:modified xsi:type="dcterms:W3CDTF">2025-11-28T13:31:00Z</dcterms:modified>
</cp:coreProperties>
</file>