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AC207" w14:textId="77777777" w:rsidR="00E265A5" w:rsidRDefault="001740E1" w:rsidP="001740E1">
      <w:pPr>
        <w:pStyle w:val="Default"/>
        <w:jc w:val="center"/>
        <w:rPr>
          <w:sz w:val="22"/>
          <w:szCs w:val="22"/>
        </w:rPr>
      </w:pPr>
      <w:r w:rsidRPr="00F91830">
        <w:rPr>
          <w:sz w:val="22"/>
          <w:szCs w:val="22"/>
        </w:rPr>
        <w:t>КОЛОКОЛЬЧИКОВ С.</w:t>
      </w:r>
      <w:r>
        <w:rPr>
          <w:sz w:val="22"/>
          <w:szCs w:val="22"/>
        </w:rPr>
        <w:t>Д.</w:t>
      </w:r>
      <w:r w:rsidRPr="00F91830">
        <w:rPr>
          <w:sz w:val="22"/>
          <w:szCs w:val="22"/>
          <w:vertAlign w:val="superscript"/>
        </w:rPr>
        <w:t xml:space="preserve"> 1</w:t>
      </w:r>
      <w:r>
        <w:rPr>
          <w:sz w:val="22"/>
          <w:szCs w:val="22"/>
          <w:vertAlign w:val="superscript"/>
        </w:rPr>
        <w:t>, 2</w:t>
      </w:r>
      <w:r w:rsidRPr="00F91830">
        <w:rPr>
          <w:sz w:val="22"/>
          <w:szCs w:val="22"/>
        </w:rPr>
        <w:t>, СЕНИЧЕВ Ю.</w:t>
      </w:r>
      <w:r>
        <w:rPr>
          <w:sz w:val="22"/>
          <w:szCs w:val="22"/>
        </w:rPr>
        <w:t>В.</w:t>
      </w:r>
      <w:r w:rsidRPr="00F91830">
        <w:rPr>
          <w:sz w:val="22"/>
          <w:szCs w:val="22"/>
          <w:vertAlign w:val="superscript"/>
        </w:rPr>
        <w:t>1</w:t>
      </w:r>
      <w:r>
        <w:rPr>
          <w:sz w:val="22"/>
          <w:szCs w:val="22"/>
          <w:vertAlign w:val="superscript"/>
        </w:rPr>
        <w:t>, 2</w:t>
      </w:r>
      <w:r w:rsidRPr="00F91830">
        <w:rPr>
          <w:sz w:val="22"/>
          <w:szCs w:val="22"/>
        </w:rPr>
        <w:t>, АКСЕНТЬЕВ А.</w:t>
      </w:r>
      <w:r>
        <w:rPr>
          <w:sz w:val="22"/>
          <w:szCs w:val="22"/>
          <w:lang w:val="en-US"/>
        </w:rPr>
        <w:t>E</w:t>
      </w:r>
      <w:r>
        <w:rPr>
          <w:sz w:val="22"/>
          <w:szCs w:val="22"/>
        </w:rPr>
        <w:t>.</w:t>
      </w:r>
      <w:r w:rsidRPr="00F91830">
        <w:rPr>
          <w:sz w:val="22"/>
          <w:szCs w:val="22"/>
          <w:vertAlign w:val="superscript"/>
        </w:rPr>
        <w:t>1,</w:t>
      </w:r>
      <w:r w:rsidR="00B56AAD">
        <w:rPr>
          <w:sz w:val="22"/>
          <w:szCs w:val="22"/>
          <w:vertAlign w:val="superscript"/>
        </w:rPr>
        <w:t xml:space="preserve"> </w:t>
      </w:r>
      <w:r w:rsidRPr="00F91830">
        <w:rPr>
          <w:sz w:val="22"/>
          <w:szCs w:val="22"/>
          <w:vertAlign w:val="superscript"/>
        </w:rPr>
        <w:t>2</w:t>
      </w:r>
      <w:r w:rsidR="00B56AAD">
        <w:rPr>
          <w:sz w:val="22"/>
          <w:szCs w:val="22"/>
          <w:vertAlign w:val="superscript"/>
        </w:rPr>
        <w:t>, 3</w:t>
      </w:r>
      <w:r w:rsidRPr="00F91830">
        <w:rPr>
          <w:sz w:val="22"/>
          <w:szCs w:val="22"/>
        </w:rPr>
        <w:t>,</w:t>
      </w:r>
    </w:p>
    <w:p w14:paraId="0C1441BF" w14:textId="6ACF2919" w:rsidR="001740E1" w:rsidRPr="00E265A5" w:rsidRDefault="001740E1" w:rsidP="001740E1">
      <w:pPr>
        <w:pStyle w:val="Default"/>
        <w:jc w:val="center"/>
        <w:rPr>
          <w:sz w:val="22"/>
          <w:szCs w:val="22"/>
        </w:rPr>
      </w:pPr>
      <w:r w:rsidRPr="00F91830">
        <w:rPr>
          <w:sz w:val="22"/>
          <w:szCs w:val="22"/>
        </w:rPr>
        <w:t>МЕЛЬНИКОВ А.</w:t>
      </w:r>
      <w:r>
        <w:rPr>
          <w:sz w:val="22"/>
          <w:szCs w:val="22"/>
        </w:rPr>
        <w:t>А.</w:t>
      </w:r>
      <w:r w:rsidRPr="00F91830">
        <w:rPr>
          <w:sz w:val="22"/>
          <w:szCs w:val="22"/>
          <w:vertAlign w:val="superscript"/>
        </w:rPr>
        <w:t>1,</w:t>
      </w:r>
      <w:r w:rsidR="00B56AAD">
        <w:rPr>
          <w:sz w:val="22"/>
          <w:szCs w:val="22"/>
          <w:vertAlign w:val="superscript"/>
        </w:rPr>
        <w:t xml:space="preserve"> </w:t>
      </w:r>
      <w:r w:rsidR="00194C4F">
        <w:rPr>
          <w:sz w:val="22"/>
          <w:szCs w:val="22"/>
          <w:vertAlign w:val="superscript"/>
        </w:rPr>
        <w:t>3</w:t>
      </w:r>
      <w:r w:rsidR="00B56AAD">
        <w:rPr>
          <w:sz w:val="22"/>
          <w:szCs w:val="22"/>
          <w:vertAlign w:val="superscript"/>
        </w:rPr>
        <w:t>, 4</w:t>
      </w:r>
      <w:r w:rsidR="00E265A5">
        <w:rPr>
          <w:sz w:val="22"/>
          <w:szCs w:val="22"/>
        </w:rPr>
        <w:t>, ПАЛАМАРЧУКА П.И.</w:t>
      </w:r>
      <w:r w:rsidR="00E265A5" w:rsidRPr="00F91830">
        <w:rPr>
          <w:sz w:val="22"/>
          <w:szCs w:val="22"/>
          <w:vertAlign w:val="superscript"/>
        </w:rPr>
        <w:t>1,</w:t>
      </w:r>
      <w:r w:rsidR="00E265A5">
        <w:rPr>
          <w:sz w:val="22"/>
          <w:szCs w:val="22"/>
          <w:vertAlign w:val="superscript"/>
        </w:rPr>
        <w:t xml:space="preserve"> </w:t>
      </w:r>
      <w:r w:rsidR="00E265A5">
        <w:rPr>
          <w:sz w:val="22"/>
          <w:szCs w:val="22"/>
          <w:vertAlign w:val="superscript"/>
        </w:rPr>
        <w:t>3</w:t>
      </w:r>
    </w:p>
    <w:p w14:paraId="07AAFB03" w14:textId="5BD1FE6C" w:rsidR="00B56AAD" w:rsidRPr="00B56AAD" w:rsidRDefault="00E265A5" w:rsidP="001740E1">
      <w:pPr>
        <w:pStyle w:val="Default"/>
        <w:jc w:val="center"/>
        <w:rPr>
          <w:i/>
          <w:iCs/>
          <w:sz w:val="18"/>
          <w:szCs w:val="18"/>
        </w:rPr>
      </w:pPr>
      <w:r w:rsidRPr="00E265A5">
        <w:rPr>
          <w:sz w:val="18"/>
          <w:szCs w:val="18"/>
          <w:vertAlign w:val="superscript"/>
        </w:rPr>
        <w:t xml:space="preserve"> </w:t>
      </w:r>
      <w:r w:rsidR="001740E1" w:rsidRPr="00B56AAD">
        <w:rPr>
          <w:sz w:val="18"/>
          <w:szCs w:val="18"/>
          <w:vertAlign w:val="superscript"/>
        </w:rPr>
        <w:t xml:space="preserve">1 </w:t>
      </w:r>
      <w:r w:rsidR="001740E1" w:rsidRPr="00B56AAD">
        <w:rPr>
          <w:i/>
          <w:iCs/>
          <w:sz w:val="18"/>
          <w:szCs w:val="18"/>
        </w:rPr>
        <w:t>Институт Ядерных Исследований РАН, Москва, Россия,</w:t>
      </w:r>
    </w:p>
    <w:p w14:paraId="002B01A0" w14:textId="5A600149" w:rsidR="001740E1" w:rsidRPr="00B56AAD" w:rsidRDefault="00B56AAD" w:rsidP="00B56AAD">
      <w:pPr>
        <w:jc w:val="center"/>
        <w:rPr>
          <w:rFonts w:ascii="Times New Roman" w:hAnsi="Times New Roman" w:cs="Times New Roman"/>
          <w:bCs/>
          <w:i/>
          <w:iCs/>
          <w:color w:val="222222"/>
          <w:sz w:val="18"/>
          <w:szCs w:val="20"/>
          <w:shd w:val="clear" w:color="auto" w:fill="FFFFFF"/>
        </w:rPr>
      </w:pPr>
      <w:r w:rsidRPr="00B56AAD">
        <w:rPr>
          <w:rFonts w:ascii="Times New Roman" w:hAnsi="Times New Roman" w:cs="Times New Roman"/>
          <w:bCs/>
          <w:i/>
          <w:iCs/>
          <w:color w:val="222222"/>
          <w:sz w:val="18"/>
          <w:szCs w:val="20"/>
          <w:shd w:val="clear" w:color="auto" w:fill="FFFFFF"/>
          <w:vertAlign w:val="superscript"/>
        </w:rPr>
        <w:t>2</w:t>
      </w:r>
      <w:r w:rsidRPr="00B56AAD">
        <w:rPr>
          <w:rFonts w:ascii="Times New Roman" w:hAnsi="Times New Roman" w:cs="Times New Roman"/>
          <w:bCs/>
          <w:i/>
          <w:iCs/>
          <w:color w:val="222222"/>
          <w:sz w:val="18"/>
          <w:szCs w:val="20"/>
          <w:shd w:val="clear" w:color="auto" w:fill="FFFFFF"/>
        </w:rPr>
        <w:t>Московский Физико-Технический Институт, Долгопрудный, Россия,</w:t>
      </w:r>
      <w:r w:rsidR="001740E1" w:rsidRPr="00B56AAD">
        <w:rPr>
          <w:rFonts w:ascii="Times New Roman" w:hAnsi="Times New Roman" w:cs="Times New Roman"/>
          <w:i/>
          <w:iCs/>
          <w:sz w:val="18"/>
          <w:szCs w:val="18"/>
        </w:rPr>
        <w:br/>
      </w:r>
      <w:r w:rsidRPr="00B56AAD">
        <w:rPr>
          <w:rFonts w:ascii="Times New Roman" w:eastAsia="Times New Roman" w:hAnsi="Times New Roman" w:cs="Times New Roman"/>
          <w:sz w:val="18"/>
          <w:szCs w:val="18"/>
          <w:vertAlign w:val="superscript"/>
        </w:rPr>
        <w:t>3</w:t>
      </w:r>
      <w:r w:rsidR="001740E1" w:rsidRPr="00B56AAD">
        <w:rPr>
          <w:rFonts w:ascii="Times New Roman" w:eastAsia="Times New Roman" w:hAnsi="Times New Roman" w:cs="Times New Roman"/>
          <w:sz w:val="18"/>
          <w:szCs w:val="18"/>
          <w:vertAlign w:val="superscript"/>
        </w:rPr>
        <w:t xml:space="preserve"> </w:t>
      </w:r>
      <w:r w:rsidR="001740E1" w:rsidRPr="00B56AAD">
        <w:rPr>
          <w:rFonts w:ascii="Times New Roman" w:eastAsia="Times New Roman" w:hAnsi="Times New Roman" w:cs="Times New Roman"/>
          <w:i/>
          <w:iCs/>
          <w:sz w:val="18"/>
          <w:szCs w:val="18"/>
        </w:rPr>
        <w:t>Национальный исследовательский ядерный университет МИФИ, Москва, Россия</w:t>
      </w:r>
      <w:r w:rsidR="001740E1" w:rsidRPr="00B56AAD">
        <w:rPr>
          <w:rFonts w:ascii="Times New Roman" w:eastAsia="Times New Roman" w:hAnsi="Times New Roman" w:cs="Times New Roman"/>
          <w:i/>
          <w:iCs/>
          <w:sz w:val="18"/>
          <w:szCs w:val="18"/>
        </w:rPr>
        <w:br/>
      </w:r>
      <w:r w:rsidRPr="00B56AAD">
        <w:rPr>
          <w:rFonts w:ascii="Times New Roman" w:eastAsia="Times New Roman" w:hAnsi="Times New Roman" w:cs="Times New Roman"/>
          <w:sz w:val="18"/>
          <w:szCs w:val="18"/>
          <w:vertAlign w:val="superscript"/>
        </w:rPr>
        <w:t>4</w:t>
      </w:r>
      <w:r w:rsidR="001740E1" w:rsidRPr="00B56AAD">
        <w:rPr>
          <w:rFonts w:ascii="Times New Roman" w:eastAsia="Times New Roman" w:hAnsi="Times New Roman" w:cs="Times New Roman"/>
          <w:sz w:val="18"/>
          <w:szCs w:val="18"/>
          <w:vertAlign w:val="superscript"/>
        </w:rPr>
        <w:t xml:space="preserve"> </w:t>
      </w:r>
      <w:r w:rsidR="001740E1" w:rsidRPr="00B56AAD">
        <w:rPr>
          <w:rFonts w:ascii="Times New Roman" w:eastAsia="Times New Roman" w:hAnsi="Times New Roman" w:cs="Times New Roman"/>
          <w:i/>
          <w:iCs/>
          <w:sz w:val="18"/>
          <w:szCs w:val="18"/>
        </w:rPr>
        <w:t>Институт теоретической физики им. Л.Д. Ландау, Черноголовка, Россия</w:t>
      </w:r>
    </w:p>
    <w:p w14:paraId="0CEA044F" w14:textId="77777777" w:rsidR="001740E1" w:rsidRPr="00636CD0" w:rsidRDefault="001740E1" w:rsidP="001740E1">
      <w:pPr>
        <w:jc w:val="center"/>
        <w:rPr>
          <w:rFonts w:ascii="Times New Roman" w:hAnsi="Times New Roman" w:cs="Times New Roman"/>
          <w:bCs/>
          <w:iCs/>
          <w:color w:val="222222"/>
          <w:sz w:val="20"/>
          <w:shd w:val="clear" w:color="auto" w:fill="FFFFFF"/>
        </w:rPr>
      </w:pPr>
    </w:p>
    <w:p w14:paraId="7F35E158" w14:textId="083C720F" w:rsidR="001740E1" w:rsidRPr="00F91830" w:rsidRDefault="00B56AAD" w:rsidP="001740E1">
      <w:pPr>
        <w:jc w:val="center"/>
        <w:rPr>
          <w:rFonts w:ascii="Times New Roman" w:hAnsi="Times New Roman" w:cs="Times New Roman"/>
          <w:b/>
          <w:bCs/>
          <w:color w:val="000000"/>
          <w:sz w:val="22"/>
          <w:szCs w:val="22"/>
          <w:shd w:val="clear" w:color="auto" w:fill="FFFFFF"/>
        </w:rPr>
      </w:pPr>
      <w:r w:rsidRPr="00B56AAD">
        <w:rPr>
          <w:rFonts w:ascii="Times New Roman" w:hAnsi="Times New Roman" w:cs="Times New Roman"/>
          <w:b/>
          <w:bCs/>
          <w:color w:val="000000"/>
          <w:sz w:val="22"/>
          <w:szCs w:val="22"/>
          <w:shd w:val="clear" w:color="auto" w:fill="FFFFFF"/>
        </w:rPr>
        <w:t>ОГРАНИЧЕНИЕ ПАРАМЕТРОВ ПРОТОННОГО ПУЧКА</w:t>
      </w:r>
      <w:r>
        <w:rPr>
          <w:rFonts w:ascii="Times New Roman" w:hAnsi="Times New Roman" w:cs="Times New Roman"/>
          <w:b/>
          <w:bCs/>
          <w:color w:val="000000"/>
          <w:sz w:val="22"/>
          <w:szCs w:val="22"/>
          <w:shd w:val="clear" w:color="auto" w:fill="FFFFFF"/>
        </w:rPr>
        <w:br/>
      </w:r>
      <w:r w:rsidRPr="00B56AAD">
        <w:rPr>
          <w:rFonts w:ascii="Times New Roman" w:hAnsi="Times New Roman" w:cs="Times New Roman"/>
          <w:b/>
          <w:bCs/>
          <w:color w:val="000000"/>
          <w:sz w:val="22"/>
          <w:szCs w:val="22"/>
          <w:shd w:val="clear" w:color="auto" w:fill="FFFFFF"/>
        </w:rPr>
        <w:t>ДЛЯ КОЛЛАЙДЕРНОГО ЭКСПЕРИМЕНТА</w:t>
      </w:r>
    </w:p>
    <w:p w14:paraId="5112FAC3" w14:textId="77777777" w:rsidR="001740E1" w:rsidRPr="00F91830" w:rsidRDefault="001740E1" w:rsidP="001740E1">
      <w:pPr>
        <w:jc w:val="center"/>
        <w:rPr>
          <w:rStyle w:val="a3"/>
          <w:rFonts w:ascii="Times New Roman" w:hAnsi="Times New Roman" w:cs="Times New Roman"/>
          <w:color w:val="000000"/>
          <w:sz w:val="18"/>
          <w:szCs w:val="18"/>
          <w:shd w:val="clear" w:color="auto" w:fill="FFFFFF"/>
        </w:rPr>
      </w:pPr>
    </w:p>
    <w:p w14:paraId="67C4C231" w14:textId="13B2C4C2" w:rsidR="001740E1" w:rsidRDefault="001740E1" w:rsidP="001740E1">
      <w:pPr>
        <w:jc w:val="both"/>
        <w:rPr>
          <w:rStyle w:val="a3"/>
          <w:rFonts w:ascii="Times New Roman" w:hAnsi="Times New Roman" w:cs="Times New Roman"/>
          <w:b w:val="0"/>
          <w:bCs w:val="0"/>
          <w:color w:val="000000"/>
          <w:sz w:val="18"/>
          <w:szCs w:val="18"/>
          <w:shd w:val="clear" w:color="auto" w:fill="FFFFFF"/>
        </w:rPr>
      </w:pPr>
      <w:r>
        <w:rPr>
          <w:rStyle w:val="a3"/>
          <w:rFonts w:ascii="Times New Roman" w:hAnsi="Times New Roman" w:cs="Times New Roman"/>
          <w:color w:val="000000"/>
          <w:shd w:val="clear" w:color="auto" w:fill="FFFFFF"/>
        </w:rPr>
        <w:tab/>
      </w:r>
      <w:r w:rsidR="00C34119" w:rsidRPr="007D07D0">
        <w:rPr>
          <w:rStyle w:val="a3"/>
          <w:rFonts w:ascii="Times New Roman" w:hAnsi="Times New Roman" w:cs="Times New Roman"/>
          <w:b w:val="0"/>
          <w:bCs w:val="0"/>
          <w:color w:val="000000"/>
          <w:sz w:val="18"/>
          <w:szCs w:val="18"/>
          <w:shd w:val="clear" w:color="auto" w:fill="FFFFFF"/>
        </w:rPr>
        <w:t>В работе рассматрива</w:t>
      </w:r>
      <w:r w:rsidR="007C0900">
        <w:rPr>
          <w:rStyle w:val="a3"/>
          <w:rFonts w:ascii="Times New Roman" w:hAnsi="Times New Roman" w:cs="Times New Roman"/>
          <w:b w:val="0"/>
          <w:bCs w:val="0"/>
          <w:color w:val="000000"/>
          <w:sz w:val="18"/>
          <w:szCs w:val="18"/>
          <w:shd w:val="clear" w:color="auto" w:fill="FFFFFF"/>
        </w:rPr>
        <w:t xml:space="preserve">ются факторы, ограничивающие параметры протонного пучка в коллайдере. </w:t>
      </w:r>
      <w:r w:rsidR="003E0A07" w:rsidRPr="007D07D0">
        <w:rPr>
          <w:rStyle w:val="a3"/>
          <w:rFonts w:ascii="Times New Roman" w:hAnsi="Times New Roman" w:cs="Times New Roman"/>
          <w:b w:val="0"/>
          <w:bCs w:val="0"/>
          <w:color w:val="000000"/>
          <w:sz w:val="18"/>
          <w:szCs w:val="18"/>
          <w:shd w:val="clear" w:color="auto" w:fill="FFFFFF"/>
        </w:rPr>
        <w:t xml:space="preserve">Оценено характерное время внутрипучкового рассеяния, а также аналитически оценена возможность использования стохастического охлаждения протонного пучка. </w:t>
      </w:r>
      <w:r w:rsidR="00E265A5" w:rsidRPr="00E265A5">
        <w:rPr>
          <w:rStyle w:val="a3"/>
          <w:rFonts w:ascii="Times New Roman" w:hAnsi="Times New Roman" w:cs="Times New Roman"/>
          <w:b w:val="0"/>
          <w:bCs w:val="0"/>
          <w:color w:val="000000"/>
          <w:sz w:val="18"/>
          <w:szCs w:val="18"/>
          <w:shd w:val="clear" w:color="auto" w:fill="FFFFFF"/>
        </w:rPr>
        <w:t>Рассмотрена динамическая апертура для регулярной и резонансной магнитооптических структур</w:t>
      </w:r>
      <w:r w:rsidR="00E265A5">
        <w:rPr>
          <w:rStyle w:val="a3"/>
          <w:rFonts w:ascii="Times New Roman" w:hAnsi="Times New Roman" w:cs="Times New Roman"/>
          <w:b w:val="0"/>
          <w:bCs w:val="0"/>
          <w:color w:val="000000"/>
          <w:sz w:val="18"/>
          <w:szCs w:val="18"/>
          <w:shd w:val="clear" w:color="auto" w:fill="FFFFFF"/>
        </w:rPr>
        <w:t>.</w:t>
      </w:r>
    </w:p>
    <w:p w14:paraId="1BC5F0C7" w14:textId="77777777" w:rsidR="00E265A5" w:rsidRPr="00F91830" w:rsidRDefault="00E265A5" w:rsidP="001740E1">
      <w:pPr>
        <w:jc w:val="both"/>
        <w:rPr>
          <w:rStyle w:val="a3"/>
          <w:rFonts w:ascii="Times New Roman" w:hAnsi="Times New Roman" w:cs="Times New Roman"/>
          <w:b w:val="0"/>
          <w:bCs w:val="0"/>
          <w:color w:val="000000"/>
          <w:sz w:val="18"/>
          <w:szCs w:val="18"/>
          <w:shd w:val="clear" w:color="auto" w:fill="FFFFFF"/>
        </w:rPr>
      </w:pPr>
    </w:p>
    <w:p w14:paraId="21B3E284" w14:textId="77777777" w:rsidR="00E265A5" w:rsidRDefault="001740E1" w:rsidP="001740E1">
      <w:pPr>
        <w:pStyle w:val="Default"/>
        <w:jc w:val="center"/>
        <w:rPr>
          <w:sz w:val="22"/>
          <w:szCs w:val="22"/>
        </w:rPr>
      </w:pPr>
      <w:r w:rsidRPr="00F91830">
        <w:rPr>
          <w:sz w:val="22"/>
          <w:szCs w:val="22"/>
          <w:lang w:val="en-US"/>
        </w:rPr>
        <w:t>KOLOKOLCHIKOV</w:t>
      </w:r>
      <w:r w:rsidRPr="00F91830">
        <w:rPr>
          <w:sz w:val="22"/>
          <w:szCs w:val="22"/>
        </w:rPr>
        <w:t xml:space="preserve"> </w:t>
      </w:r>
      <w:r w:rsidRPr="00F91830">
        <w:rPr>
          <w:sz w:val="22"/>
          <w:szCs w:val="22"/>
          <w:lang w:val="en-US"/>
        </w:rPr>
        <w:t>S</w:t>
      </w:r>
      <w:r w:rsidRPr="00F91830">
        <w:rPr>
          <w:sz w:val="22"/>
          <w:szCs w:val="22"/>
        </w:rPr>
        <w:t>.</w:t>
      </w:r>
      <w:r>
        <w:rPr>
          <w:sz w:val="22"/>
          <w:szCs w:val="22"/>
          <w:lang w:val="en-US"/>
        </w:rPr>
        <w:t>D</w:t>
      </w:r>
      <w:r>
        <w:rPr>
          <w:sz w:val="22"/>
          <w:szCs w:val="22"/>
        </w:rPr>
        <w:t>.</w:t>
      </w:r>
      <w:r w:rsidRPr="00F91830">
        <w:rPr>
          <w:sz w:val="22"/>
          <w:szCs w:val="22"/>
          <w:vertAlign w:val="superscript"/>
        </w:rPr>
        <w:t>1</w:t>
      </w:r>
      <w:r w:rsidR="00B1236E">
        <w:rPr>
          <w:sz w:val="22"/>
          <w:szCs w:val="22"/>
          <w:vertAlign w:val="superscript"/>
        </w:rPr>
        <w:t>, 2</w:t>
      </w:r>
      <w:r w:rsidRPr="00F91830">
        <w:rPr>
          <w:sz w:val="22"/>
          <w:szCs w:val="22"/>
        </w:rPr>
        <w:t xml:space="preserve">, </w:t>
      </w:r>
      <w:r w:rsidRPr="00F91830">
        <w:rPr>
          <w:sz w:val="22"/>
          <w:szCs w:val="22"/>
          <w:lang w:val="en-US"/>
        </w:rPr>
        <w:t>SENICHEV</w:t>
      </w:r>
      <w:r w:rsidRPr="00F91830">
        <w:rPr>
          <w:sz w:val="22"/>
          <w:szCs w:val="22"/>
        </w:rPr>
        <w:t xml:space="preserve"> </w:t>
      </w:r>
      <w:r w:rsidRPr="00F91830">
        <w:rPr>
          <w:sz w:val="22"/>
          <w:szCs w:val="22"/>
          <w:lang w:val="en-US"/>
        </w:rPr>
        <w:t>Yu</w:t>
      </w:r>
      <w:r w:rsidRPr="00F91830">
        <w:rPr>
          <w:sz w:val="22"/>
          <w:szCs w:val="22"/>
        </w:rPr>
        <w:t>.</w:t>
      </w:r>
      <w:r>
        <w:rPr>
          <w:sz w:val="22"/>
          <w:szCs w:val="22"/>
          <w:lang w:val="en-US"/>
        </w:rPr>
        <w:t>V</w:t>
      </w:r>
      <w:r w:rsidRPr="00044B8F">
        <w:rPr>
          <w:sz w:val="22"/>
          <w:szCs w:val="22"/>
        </w:rPr>
        <w:t>.</w:t>
      </w:r>
      <w:r w:rsidRPr="00F91830">
        <w:rPr>
          <w:sz w:val="22"/>
          <w:szCs w:val="22"/>
          <w:vertAlign w:val="superscript"/>
        </w:rPr>
        <w:t>1</w:t>
      </w:r>
      <w:r w:rsidR="00B1236E">
        <w:rPr>
          <w:sz w:val="22"/>
          <w:szCs w:val="22"/>
          <w:vertAlign w:val="superscript"/>
        </w:rPr>
        <w:t>, 2</w:t>
      </w:r>
      <w:r w:rsidRPr="00F91830">
        <w:rPr>
          <w:sz w:val="22"/>
          <w:szCs w:val="22"/>
        </w:rPr>
        <w:t xml:space="preserve">, </w:t>
      </w:r>
      <w:r w:rsidRPr="00F91830">
        <w:rPr>
          <w:sz w:val="22"/>
          <w:szCs w:val="22"/>
          <w:lang w:val="en-US"/>
        </w:rPr>
        <w:t>AKSENTYEV</w:t>
      </w:r>
      <w:r w:rsidRPr="00F91830">
        <w:rPr>
          <w:sz w:val="22"/>
          <w:szCs w:val="22"/>
        </w:rPr>
        <w:t xml:space="preserve"> А.</w:t>
      </w:r>
      <w:r>
        <w:rPr>
          <w:sz w:val="22"/>
          <w:szCs w:val="22"/>
          <w:lang w:val="en-US"/>
        </w:rPr>
        <w:t>E</w:t>
      </w:r>
      <w:r w:rsidRPr="00044B8F">
        <w:rPr>
          <w:sz w:val="22"/>
          <w:szCs w:val="22"/>
        </w:rPr>
        <w:t>.</w:t>
      </w:r>
      <w:r w:rsidRPr="00F91830">
        <w:rPr>
          <w:sz w:val="22"/>
          <w:szCs w:val="22"/>
          <w:vertAlign w:val="superscript"/>
        </w:rPr>
        <w:t>1,</w:t>
      </w:r>
      <w:r w:rsidR="00B1236E">
        <w:rPr>
          <w:sz w:val="22"/>
          <w:szCs w:val="22"/>
          <w:vertAlign w:val="superscript"/>
        </w:rPr>
        <w:t xml:space="preserve"> </w:t>
      </w:r>
      <w:r w:rsidRPr="00F91830">
        <w:rPr>
          <w:sz w:val="22"/>
          <w:szCs w:val="22"/>
          <w:vertAlign w:val="superscript"/>
        </w:rPr>
        <w:t>2</w:t>
      </w:r>
      <w:r w:rsidR="00B1236E">
        <w:rPr>
          <w:sz w:val="22"/>
          <w:szCs w:val="22"/>
          <w:vertAlign w:val="superscript"/>
        </w:rPr>
        <w:t>, 3</w:t>
      </w:r>
      <w:r w:rsidRPr="00F91830">
        <w:rPr>
          <w:sz w:val="22"/>
          <w:szCs w:val="22"/>
        </w:rPr>
        <w:t>,</w:t>
      </w:r>
    </w:p>
    <w:p w14:paraId="025AC75E" w14:textId="25BC37BB" w:rsidR="001740E1" w:rsidRPr="00E265A5" w:rsidRDefault="001740E1" w:rsidP="001740E1">
      <w:pPr>
        <w:pStyle w:val="Default"/>
        <w:jc w:val="center"/>
        <w:rPr>
          <w:sz w:val="22"/>
          <w:szCs w:val="22"/>
          <w:lang w:val="en-US"/>
        </w:rPr>
      </w:pPr>
      <w:r w:rsidRPr="00F91830">
        <w:rPr>
          <w:sz w:val="22"/>
          <w:szCs w:val="22"/>
          <w:lang w:val="en-US"/>
        </w:rPr>
        <w:t>MELNIKOV</w:t>
      </w:r>
      <w:r w:rsidRPr="00E265A5">
        <w:rPr>
          <w:sz w:val="22"/>
          <w:szCs w:val="22"/>
          <w:lang w:val="en-US"/>
        </w:rPr>
        <w:t xml:space="preserve"> </w:t>
      </w:r>
      <w:r w:rsidRPr="00F91830">
        <w:rPr>
          <w:sz w:val="22"/>
          <w:szCs w:val="22"/>
        </w:rPr>
        <w:t>А</w:t>
      </w:r>
      <w:r w:rsidRPr="00E265A5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A</w:t>
      </w:r>
      <w:r w:rsidRPr="00E265A5">
        <w:rPr>
          <w:sz w:val="22"/>
          <w:szCs w:val="22"/>
          <w:lang w:val="en-US"/>
        </w:rPr>
        <w:t>.</w:t>
      </w:r>
      <w:r w:rsidRPr="00E265A5">
        <w:rPr>
          <w:sz w:val="22"/>
          <w:szCs w:val="22"/>
          <w:vertAlign w:val="superscript"/>
          <w:lang w:val="en-US"/>
        </w:rPr>
        <w:t>1,</w:t>
      </w:r>
      <w:r w:rsidR="00B1236E" w:rsidRPr="00E265A5">
        <w:rPr>
          <w:sz w:val="22"/>
          <w:szCs w:val="22"/>
          <w:vertAlign w:val="superscript"/>
          <w:lang w:val="en-US"/>
        </w:rPr>
        <w:t xml:space="preserve"> </w:t>
      </w:r>
      <w:r w:rsidRPr="00E265A5">
        <w:rPr>
          <w:sz w:val="22"/>
          <w:szCs w:val="22"/>
          <w:vertAlign w:val="superscript"/>
          <w:lang w:val="en-US"/>
        </w:rPr>
        <w:t>3</w:t>
      </w:r>
      <w:r w:rsidR="00B1236E" w:rsidRPr="00E265A5">
        <w:rPr>
          <w:sz w:val="22"/>
          <w:szCs w:val="22"/>
          <w:vertAlign w:val="superscript"/>
          <w:lang w:val="en-US"/>
        </w:rPr>
        <w:t>, 4</w:t>
      </w:r>
      <w:r w:rsidR="00E265A5" w:rsidRPr="00E265A5">
        <w:rPr>
          <w:sz w:val="22"/>
          <w:szCs w:val="22"/>
          <w:lang w:val="en-US"/>
        </w:rPr>
        <w:t xml:space="preserve">, </w:t>
      </w:r>
      <w:r w:rsidR="00E265A5">
        <w:rPr>
          <w:sz w:val="22"/>
          <w:szCs w:val="22"/>
          <w:lang w:val="en-US"/>
        </w:rPr>
        <w:t>PALAMARCHUKA</w:t>
      </w:r>
      <w:r w:rsidR="00E265A5" w:rsidRPr="00E265A5">
        <w:rPr>
          <w:sz w:val="22"/>
          <w:szCs w:val="22"/>
          <w:lang w:val="en-US"/>
        </w:rPr>
        <w:t xml:space="preserve"> </w:t>
      </w:r>
      <w:r w:rsidR="00E265A5">
        <w:rPr>
          <w:sz w:val="22"/>
          <w:szCs w:val="22"/>
          <w:lang w:val="en-US"/>
        </w:rPr>
        <w:t>P</w:t>
      </w:r>
      <w:r w:rsidR="00E265A5" w:rsidRPr="00E265A5">
        <w:rPr>
          <w:sz w:val="22"/>
          <w:szCs w:val="22"/>
          <w:lang w:val="en-US"/>
        </w:rPr>
        <w:t>.</w:t>
      </w:r>
      <w:r w:rsidR="00E265A5">
        <w:rPr>
          <w:sz w:val="22"/>
          <w:szCs w:val="22"/>
          <w:lang w:val="en-US"/>
        </w:rPr>
        <w:t>I</w:t>
      </w:r>
      <w:r w:rsidR="00E265A5" w:rsidRPr="00E265A5">
        <w:rPr>
          <w:sz w:val="22"/>
          <w:szCs w:val="22"/>
          <w:lang w:val="en-US"/>
        </w:rPr>
        <w:t>.</w:t>
      </w:r>
      <w:r w:rsidR="00E265A5" w:rsidRPr="00E265A5">
        <w:rPr>
          <w:sz w:val="22"/>
          <w:szCs w:val="22"/>
          <w:vertAlign w:val="superscript"/>
          <w:lang w:val="en-US"/>
        </w:rPr>
        <w:t>1, 3</w:t>
      </w:r>
    </w:p>
    <w:p w14:paraId="6F9F1466" w14:textId="6013985E" w:rsidR="001740E1" w:rsidRPr="00B1236E" w:rsidRDefault="001740E1" w:rsidP="001740E1">
      <w:pPr>
        <w:pStyle w:val="Default"/>
        <w:jc w:val="center"/>
        <w:rPr>
          <w:i/>
          <w:iCs/>
          <w:sz w:val="18"/>
          <w:szCs w:val="18"/>
          <w:lang w:val="en-US"/>
        </w:rPr>
      </w:pPr>
      <w:r w:rsidRPr="00B1236E">
        <w:rPr>
          <w:sz w:val="18"/>
          <w:szCs w:val="18"/>
          <w:vertAlign w:val="superscript"/>
          <w:lang w:val="en-US"/>
        </w:rPr>
        <w:t xml:space="preserve">1 </w:t>
      </w:r>
      <w:r w:rsidRPr="00B1236E">
        <w:rPr>
          <w:i/>
          <w:iCs/>
          <w:sz w:val="18"/>
          <w:szCs w:val="18"/>
          <w:lang w:val="en-US"/>
        </w:rPr>
        <w:t>Institute for Nuclear Research RAS, Moscow, Russia,</w:t>
      </w:r>
    </w:p>
    <w:p w14:paraId="18234027" w14:textId="2DF2FBA5" w:rsidR="00B1236E" w:rsidRPr="00B1236E" w:rsidRDefault="00B1236E" w:rsidP="00B1236E">
      <w:pPr>
        <w:pStyle w:val="Body"/>
        <w:jc w:val="center"/>
        <w:rPr>
          <w:rFonts w:ascii="Times New Roman" w:eastAsia="Times New Roman" w:hAnsi="Times New Roman" w:cs="Times New Roman"/>
          <w:i/>
          <w:iCs/>
          <w:sz w:val="18"/>
          <w:szCs w:val="18"/>
        </w:rPr>
      </w:pPr>
      <w:r w:rsidRPr="00B1236E">
        <w:rPr>
          <w:rFonts w:ascii="Times New Roman" w:hAnsi="Times New Roman" w:cs="Times New Roman"/>
          <w:i/>
          <w:iCs/>
          <w:sz w:val="18"/>
          <w:szCs w:val="18"/>
          <w:vertAlign w:val="superscript"/>
        </w:rPr>
        <w:t xml:space="preserve">2 </w:t>
      </w:r>
      <w:r w:rsidRPr="00B1236E">
        <w:rPr>
          <w:rFonts w:ascii="Times New Roman" w:hAnsi="Times New Roman" w:cs="Times New Roman"/>
          <w:i/>
          <w:iCs/>
          <w:sz w:val="18"/>
          <w:szCs w:val="18"/>
        </w:rPr>
        <w:t>Moscow institute of physics and technology (MIPT), Dolgoprudny, Ruussia</w:t>
      </w:r>
    </w:p>
    <w:p w14:paraId="44DE7030" w14:textId="37CF7CC9" w:rsidR="001740E1" w:rsidRPr="00B1236E" w:rsidRDefault="00B1236E" w:rsidP="001740E1">
      <w:pPr>
        <w:pStyle w:val="Default"/>
        <w:jc w:val="center"/>
        <w:rPr>
          <w:i/>
          <w:iCs/>
          <w:sz w:val="18"/>
          <w:szCs w:val="18"/>
          <w:lang w:val="en-US"/>
        </w:rPr>
      </w:pPr>
      <w:r w:rsidRPr="00B1236E">
        <w:rPr>
          <w:sz w:val="18"/>
          <w:szCs w:val="18"/>
          <w:vertAlign w:val="superscript"/>
          <w:lang w:val="en-US"/>
        </w:rPr>
        <w:t xml:space="preserve">3 </w:t>
      </w:r>
      <w:r w:rsidR="001740E1" w:rsidRPr="00B1236E">
        <w:rPr>
          <w:i/>
          <w:iCs/>
          <w:sz w:val="18"/>
          <w:szCs w:val="18"/>
          <w:lang w:val="en-US"/>
        </w:rPr>
        <w:t>National Research Nuclear University MEPhI, Moscow, Russia</w:t>
      </w:r>
      <w:r w:rsidR="001740E1" w:rsidRPr="00B1236E">
        <w:rPr>
          <w:i/>
          <w:iCs/>
          <w:sz w:val="18"/>
          <w:szCs w:val="18"/>
          <w:lang w:val="en-US"/>
        </w:rPr>
        <w:br/>
      </w:r>
      <w:r w:rsidRPr="00B1236E">
        <w:rPr>
          <w:sz w:val="18"/>
          <w:szCs w:val="18"/>
          <w:vertAlign w:val="superscript"/>
          <w:lang w:val="en-US"/>
        </w:rPr>
        <w:t>4</w:t>
      </w:r>
      <w:r w:rsidR="001740E1" w:rsidRPr="00B1236E">
        <w:rPr>
          <w:sz w:val="18"/>
          <w:szCs w:val="18"/>
          <w:vertAlign w:val="superscript"/>
          <w:lang w:val="en-US"/>
        </w:rPr>
        <w:t xml:space="preserve"> </w:t>
      </w:r>
      <w:r w:rsidR="001740E1" w:rsidRPr="00B1236E">
        <w:rPr>
          <w:i/>
          <w:iCs/>
          <w:sz w:val="18"/>
          <w:szCs w:val="18"/>
          <w:lang w:val="en-US"/>
        </w:rPr>
        <w:t>Landau Institute for Theoretical Physics, Chernogolovka, Russia</w:t>
      </w:r>
    </w:p>
    <w:p w14:paraId="2482B7D5" w14:textId="77777777" w:rsidR="001740E1" w:rsidRDefault="001740E1" w:rsidP="001740E1">
      <w:pPr>
        <w:pStyle w:val="Default"/>
        <w:jc w:val="center"/>
        <w:rPr>
          <w:i/>
          <w:iCs/>
          <w:sz w:val="18"/>
          <w:szCs w:val="18"/>
          <w:lang w:val="en-US"/>
        </w:rPr>
      </w:pPr>
    </w:p>
    <w:p w14:paraId="45D32A6A" w14:textId="7D040EB7" w:rsidR="001740E1" w:rsidRPr="00F91830" w:rsidRDefault="00B1236E" w:rsidP="001740E1">
      <w:pPr>
        <w:pStyle w:val="Default"/>
        <w:jc w:val="center"/>
        <w:rPr>
          <w:b/>
          <w:bCs/>
          <w:sz w:val="18"/>
          <w:szCs w:val="18"/>
          <w:shd w:val="clear" w:color="auto" w:fill="FFFFFF"/>
          <w:lang w:val="en-US"/>
        </w:rPr>
      </w:pPr>
      <w:r w:rsidRPr="00B1236E">
        <w:rPr>
          <w:b/>
          <w:bCs/>
          <w:sz w:val="22"/>
          <w:szCs w:val="22"/>
          <w:shd w:val="clear" w:color="auto" w:fill="FFFFFF"/>
          <w:lang w:val="en-US"/>
        </w:rPr>
        <w:t>PROTON BEAM PARAMETER LIMITATIONS</w:t>
      </w:r>
      <w:r>
        <w:rPr>
          <w:b/>
          <w:bCs/>
          <w:sz w:val="22"/>
          <w:szCs w:val="22"/>
          <w:shd w:val="clear" w:color="auto" w:fill="FFFFFF"/>
          <w:lang w:val="en-US"/>
        </w:rPr>
        <w:br/>
      </w:r>
      <w:r w:rsidRPr="00B1236E">
        <w:rPr>
          <w:b/>
          <w:bCs/>
          <w:sz w:val="22"/>
          <w:szCs w:val="22"/>
          <w:shd w:val="clear" w:color="auto" w:fill="FFFFFF"/>
          <w:lang w:val="en-US"/>
        </w:rPr>
        <w:t>FOR COLLIDER-BASED EXPERIMENTS</w:t>
      </w:r>
      <w:r w:rsidR="001740E1">
        <w:rPr>
          <w:b/>
          <w:bCs/>
          <w:shd w:val="clear" w:color="auto" w:fill="FFFFFF"/>
          <w:lang w:val="en-US"/>
        </w:rPr>
        <w:br/>
      </w:r>
    </w:p>
    <w:p w14:paraId="3F62F4AE" w14:textId="77777777" w:rsidR="00A85F6D" w:rsidRDefault="001740E1" w:rsidP="00C34119">
      <w:pPr>
        <w:pStyle w:val="Default"/>
        <w:jc w:val="both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ab/>
      </w:r>
      <w:r w:rsidR="00A85F6D" w:rsidRPr="00A85F6D">
        <w:rPr>
          <w:sz w:val="18"/>
          <w:szCs w:val="18"/>
          <w:lang w:val="en-US"/>
        </w:rPr>
        <w:t>This study investigates the factors constraining proton beam parameters in collider experiments. The characteristic time of intra-beam scattering is estimated, and the potential application of stochastic cooling for proton beams is analytically assessed. The dynamic aperture is explored for both regular and resonant magneto-optical lattices.</w:t>
      </w:r>
    </w:p>
    <w:p w14:paraId="0BE211B1" w14:textId="4B84C413" w:rsidR="00C34119" w:rsidRPr="00A85F6D" w:rsidRDefault="001740E1" w:rsidP="00C34119">
      <w:pPr>
        <w:pStyle w:val="Default"/>
        <w:jc w:val="both"/>
        <w:rPr>
          <w:sz w:val="20"/>
          <w:szCs w:val="20"/>
          <w:lang w:val="en-US"/>
        </w:rPr>
      </w:pPr>
      <w:r w:rsidRPr="00A85F6D">
        <w:rPr>
          <w:lang w:val="en-US"/>
        </w:rPr>
        <w:tab/>
      </w:r>
    </w:p>
    <w:p w14:paraId="2D04DD0F" w14:textId="5FC4C0B9" w:rsidR="006F4E0C" w:rsidRPr="006F4E0C" w:rsidRDefault="006F4E0C" w:rsidP="006F4E0C">
      <w:pPr>
        <w:pStyle w:val="Default"/>
        <w:ind w:firstLine="708"/>
        <w:jc w:val="both"/>
        <w:rPr>
          <w:sz w:val="20"/>
          <w:szCs w:val="20"/>
        </w:rPr>
      </w:pPr>
      <w:r w:rsidRPr="006F4E0C">
        <w:rPr>
          <w:sz w:val="20"/>
          <w:szCs w:val="20"/>
        </w:rPr>
        <w:t>Достижение высокой светимости в коллайдерных экспериментах накладывает ограничения на параметры пучка [1]. В случае поляризованного протонного пучка особую сложность представляет проблема прохождения критической энергии. Для её решения традиционно применяется метод скачка критической энергии, однако альтернативным подходом может служить метод повышения критической энергии [2].</w:t>
      </w:r>
    </w:p>
    <w:p w14:paraId="2EA15421" w14:textId="5DE67A13" w:rsidR="006F4E0C" w:rsidRPr="006F4E0C" w:rsidRDefault="006F4E0C" w:rsidP="006F4E0C">
      <w:pPr>
        <w:pStyle w:val="Default"/>
        <w:ind w:firstLine="708"/>
        <w:jc w:val="both"/>
        <w:rPr>
          <w:sz w:val="20"/>
          <w:szCs w:val="20"/>
        </w:rPr>
      </w:pPr>
      <w:r w:rsidRPr="006F4E0C">
        <w:rPr>
          <w:sz w:val="20"/>
          <w:szCs w:val="20"/>
        </w:rPr>
        <w:t>Внутрипучковое рассеяние приводит к росту фазового объёма пучка, что особенно критично для интенсивных сгустков тяжёлых ионов. В таких случаях эффективными методами</w:t>
      </w:r>
      <w:r>
        <w:rPr>
          <w:sz w:val="20"/>
          <w:szCs w:val="20"/>
        </w:rPr>
        <w:t xml:space="preserve"> сохранения</w:t>
      </w:r>
      <w:r w:rsidRPr="006F4E0C">
        <w:rPr>
          <w:sz w:val="20"/>
          <w:szCs w:val="20"/>
        </w:rPr>
        <w:t xml:space="preserve"> пучка становятся электронное и стохастическое охлаждение. Однако применение стохастического охлаждения для лёгких протонов в условиях коллайдера имеет свои особенности и сложности, в отличие от случая тяжёлых ионов. В данной работе изучена эффективность стохастического охлаждения протонного пучка в кольце коллайдера для регулярной и резонансной магнитооптических структур.</w:t>
      </w:r>
    </w:p>
    <w:p w14:paraId="1E7539DD" w14:textId="75552DA3" w:rsidR="00FE4F5A" w:rsidRPr="000404DD" w:rsidRDefault="006F4E0C" w:rsidP="006F4E0C">
      <w:pPr>
        <w:pStyle w:val="Default"/>
        <w:ind w:firstLine="708"/>
        <w:jc w:val="both"/>
        <w:rPr>
          <w:sz w:val="20"/>
          <w:szCs w:val="20"/>
        </w:rPr>
      </w:pPr>
      <w:r w:rsidRPr="006F4E0C">
        <w:rPr>
          <w:sz w:val="20"/>
          <w:szCs w:val="20"/>
        </w:rPr>
        <w:t xml:space="preserve">Также рассмотрены динамические апертуры для резонансной структуры со скачком критической энергии и для случая резонансной структуры с повышенной критической энергией. Исследования проведены на основе комплекса </w:t>
      </w:r>
      <w:r w:rsidR="000404DD">
        <w:rPr>
          <w:sz w:val="20"/>
          <w:szCs w:val="20"/>
          <w:lang w:val="en-US"/>
        </w:rPr>
        <w:t>NICA</w:t>
      </w:r>
      <w:r w:rsidR="000404DD" w:rsidRPr="000404DD">
        <w:rPr>
          <w:sz w:val="20"/>
          <w:szCs w:val="20"/>
        </w:rPr>
        <w:t>-</w:t>
      </w:r>
      <w:r w:rsidR="000404DD">
        <w:rPr>
          <w:sz w:val="20"/>
          <w:szCs w:val="20"/>
          <w:lang w:val="en-US"/>
        </w:rPr>
        <w:t>Nuclotron</w:t>
      </w:r>
      <w:r w:rsidR="000404DD" w:rsidRPr="000404DD">
        <w:rPr>
          <w:sz w:val="20"/>
          <w:szCs w:val="20"/>
        </w:rPr>
        <w:t>.</w:t>
      </w:r>
    </w:p>
    <w:p w14:paraId="26705F37" w14:textId="77777777" w:rsidR="00DD37F8" w:rsidRPr="00D67EB7" w:rsidRDefault="00DD37F8" w:rsidP="00DD37F8">
      <w:pPr>
        <w:pStyle w:val="Default"/>
        <w:ind w:firstLine="708"/>
        <w:jc w:val="both"/>
        <w:rPr>
          <w:sz w:val="20"/>
          <w:szCs w:val="20"/>
        </w:rPr>
      </w:pPr>
    </w:p>
    <w:p w14:paraId="6E3A9A5D" w14:textId="77777777" w:rsidR="001740E1" w:rsidRPr="00C34119" w:rsidRDefault="001740E1" w:rsidP="001740E1">
      <w:pPr>
        <w:pStyle w:val="Default"/>
        <w:jc w:val="center"/>
        <w:rPr>
          <w:bCs/>
          <w:i/>
          <w:sz w:val="18"/>
          <w:szCs w:val="18"/>
          <w:shd w:val="clear" w:color="auto" w:fill="FFFFFF"/>
        </w:rPr>
      </w:pPr>
      <w:r w:rsidRPr="00243EDE">
        <w:rPr>
          <w:bCs/>
          <w:i/>
          <w:sz w:val="18"/>
          <w:szCs w:val="18"/>
          <w:shd w:val="clear" w:color="auto" w:fill="FFFFFF"/>
        </w:rPr>
        <w:t>Список</w:t>
      </w:r>
      <w:r w:rsidRPr="00C34119">
        <w:rPr>
          <w:bCs/>
          <w:i/>
          <w:sz w:val="18"/>
          <w:szCs w:val="18"/>
          <w:shd w:val="clear" w:color="auto" w:fill="FFFFFF"/>
        </w:rPr>
        <w:t xml:space="preserve"> </w:t>
      </w:r>
      <w:r w:rsidRPr="00243EDE">
        <w:rPr>
          <w:bCs/>
          <w:i/>
          <w:sz w:val="18"/>
          <w:szCs w:val="18"/>
          <w:shd w:val="clear" w:color="auto" w:fill="FFFFFF"/>
        </w:rPr>
        <w:t>литературы</w:t>
      </w:r>
    </w:p>
    <w:p w14:paraId="1EEB1758" w14:textId="296C8F8D" w:rsidR="007D07D0" w:rsidRPr="007D07D0" w:rsidRDefault="007D07D0" w:rsidP="001740E1">
      <w:pPr>
        <w:pStyle w:val="Default"/>
        <w:numPr>
          <w:ilvl w:val="0"/>
          <w:numId w:val="1"/>
        </w:numPr>
        <w:jc w:val="both"/>
        <w:rPr>
          <w:sz w:val="18"/>
          <w:szCs w:val="18"/>
        </w:rPr>
      </w:pPr>
      <w:r w:rsidRPr="007D07D0">
        <w:rPr>
          <w:sz w:val="18"/>
          <w:szCs w:val="18"/>
          <w:lang w:val="en-US"/>
        </w:rPr>
        <w:t xml:space="preserve">Syresin, E.M., Butenko, A.V., Zenkevich, P.R. et al. Formation of Polarized Proton Beams in the NICA Collider-Accelerator Complex. </w:t>
      </w:r>
      <w:r w:rsidRPr="00E265A5">
        <w:rPr>
          <w:sz w:val="18"/>
          <w:szCs w:val="18"/>
          <w:lang w:val="en-US"/>
        </w:rPr>
        <w:t xml:space="preserve">Phys. </w:t>
      </w:r>
      <w:r w:rsidRPr="007D07D0">
        <w:rPr>
          <w:sz w:val="18"/>
          <w:szCs w:val="18"/>
        </w:rPr>
        <w:t>Part. Nuclei 52, 997–1017 (2021). https://doi.org/10.1134/S1063779621050051</w:t>
      </w:r>
    </w:p>
    <w:p w14:paraId="0DCFECC7" w14:textId="68085C01" w:rsidR="007D07D0" w:rsidRPr="00E265A5" w:rsidRDefault="007D07D0" w:rsidP="000404DD">
      <w:pPr>
        <w:pStyle w:val="Default"/>
        <w:numPr>
          <w:ilvl w:val="0"/>
          <w:numId w:val="1"/>
        </w:numPr>
        <w:jc w:val="both"/>
        <w:rPr>
          <w:sz w:val="18"/>
          <w:szCs w:val="18"/>
          <w:lang w:val="en-US"/>
        </w:rPr>
      </w:pPr>
      <w:r w:rsidRPr="007D07D0">
        <w:rPr>
          <w:sz w:val="18"/>
          <w:szCs w:val="18"/>
        </w:rPr>
        <w:t xml:space="preserve">Kolokolchikov, S.D., Senichev, Y.V., Aksentyev, A.E. et al. </w:t>
      </w:r>
      <w:r w:rsidRPr="007D07D0">
        <w:rPr>
          <w:sz w:val="18"/>
          <w:szCs w:val="18"/>
          <w:lang w:val="en-US"/>
        </w:rPr>
        <w:t xml:space="preserve">Features of dual-purpose structure for heavy ion and light particles. </w:t>
      </w:r>
      <w:r w:rsidRPr="00E265A5">
        <w:rPr>
          <w:sz w:val="18"/>
          <w:szCs w:val="18"/>
          <w:lang w:val="en-US"/>
        </w:rPr>
        <w:t xml:space="preserve">NUCL SCI TECH 36, 210 (2025). </w:t>
      </w:r>
      <w:hyperlink r:id="rId5" w:history="1">
        <w:r w:rsidRPr="00E265A5">
          <w:rPr>
            <w:rStyle w:val="a4"/>
            <w:sz w:val="18"/>
            <w:szCs w:val="18"/>
            <w:lang w:val="en-US"/>
          </w:rPr>
          <w:t>https://doi.org/10.1007/s41365-025-01791-4</w:t>
        </w:r>
      </w:hyperlink>
    </w:p>
    <w:sectPr w:rsidR="007D07D0" w:rsidRPr="00E265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A3A8E"/>
    <w:multiLevelType w:val="hybridMultilevel"/>
    <w:tmpl w:val="5D78526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0E1"/>
    <w:rsid w:val="000404DD"/>
    <w:rsid w:val="001740E1"/>
    <w:rsid w:val="00194C4F"/>
    <w:rsid w:val="00254522"/>
    <w:rsid w:val="00297A47"/>
    <w:rsid w:val="003E0A07"/>
    <w:rsid w:val="004C0711"/>
    <w:rsid w:val="006F4E0C"/>
    <w:rsid w:val="007C0900"/>
    <w:rsid w:val="007D07D0"/>
    <w:rsid w:val="009F1297"/>
    <w:rsid w:val="00A85F6D"/>
    <w:rsid w:val="00B1236E"/>
    <w:rsid w:val="00B56AAD"/>
    <w:rsid w:val="00C34119"/>
    <w:rsid w:val="00DD37F8"/>
    <w:rsid w:val="00E265A5"/>
    <w:rsid w:val="00F92F51"/>
    <w:rsid w:val="00FE4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C12B1"/>
  <w15:chartTrackingRefBased/>
  <w15:docId w15:val="{33F87535-6143-4E50-9F06-A1CCEEA66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40E1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740E1"/>
    <w:rPr>
      <w:b/>
      <w:bCs/>
    </w:rPr>
  </w:style>
  <w:style w:type="paragraph" w:customStyle="1" w:styleId="Default">
    <w:name w:val="Default"/>
    <w:rsid w:val="001740E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Body">
    <w:name w:val="Body"/>
    <w:rsid w:val="00B1236E"/>
    <w:pPr>
      <w:pBdr>
        <w:top w:val="nil"/>
        <w:left w:val="nil"/>
        <w:bottom w:val="nil"/>
        <w:right w:val="nil"/>
        <w:between w:val="nil"/>
        <w:bar w:val="nil"/>
      </w:pBdr>
      <w:spacing w:after="0" w:line="276" w:lineRule="auto"/>
    </w:pPr>
    <w:rPr>
      <w:rFonts w:ascii="Arial" w:eastAsia="Arial Unicode MS" w:hAnsi="Arial" w:cs="Arial Unicode MS"/>
      <w:color w:val="000000"/>
      <w:u w:color="000000"/>
      <w:bdr w:val="nil"/>
      <w:lang w:val="en-US" w:eastAsia="ru-RU"/>
    </w:rPr>
  </w:style>
  <w:style w:type="character" w:styleId="a4">
    <w:name w:val="Hyperlink"/>
    <w:basedOn w:val="a0"/>
    <w:uiPriority w:val="99"/>
    <w:unhideWhenUsed/>
    <w:rsid w:val="007D07D0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D07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10.1007/s41365-025-01791-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1276</TotalTime>
  <Pages>1</Pages>
  <Words>479</Words>
  <Characters>2732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Колокольчиков</dc:creator>
  <cp:keywords/>
  <dc:description/>
  <cp:lastModifiedBy>Сергей Колокольчиков</cp:lastModifiedBy>
  <cp:revision>10</cp:revision>
  <dcterms:created xsi:type="dcterms:W3CDTF">2026-01-09T11:48:00Z</dcterms:created>
  <dcterms:modified xsi:type="dcterms:W3CDTF">2026-01-12T09:05:00Z</dcterms:modified>
</cp:coreProperties>
</file>