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36E74" w14:textId="1F0743DB" w:rsidR="002E654F" w:rsidRPr="00FE1FF3" w:rsidRDefault="005415E5" w:rsidP="00FE1F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FF3">
        <w:rPr>
          <w:rFonts w:ascii="Times New Roman" w:hAnsi="Times New Roman" w:cs="Times New Roman"/>
          <w:b/>
          <w:bCs/>
          <w:sz w:val="24"/>
          <w:szCs w:val="24"/>
        </w:rPr>
        <w:t>ПРОЕКТИРОВАНИЕ МАГНИТООПТИЧЕСКОЙ СТРУКТУРЫ МНОГОФУНКЦИОНАЛЬНОГО ВОСЬМИОБРАЗНОГО КОЛЬЦА</w:t>
      </w:r>
    </w:p>
    <w:p w14:paraId="5E780097" w14:textId="39EB040E" w:rsidR="005415E5" w:rsidRPr="00FE1FF3" w:rsidRDefault="009A7878" w:rsidP="00FE1FF3">
      <w:pPr>
        <w:pStyle w:val="Default"/>
        <w:jc w:val="center"/>
        <w:rPr>
          <w:i/>
          <w:iCs/>
        </w:rPr>
      </w:pPr>
      <w:r w:rsidRPr="00ED1FDA">
        <w:rPr>
          <w:i/>
          <w:iCs/>
          <w:u w:val="single"/>
        </w:rPr>
        <w:t>Колокольчиков С.Д.</w:t>
      </w:r>
      <w:r w:rsidRPr="00ED1FDA">
        <w:rPr>
          <w:i/>
          <w:iCs/>
          <w:u w:val="single"/>
          <w:vertAlign w:val="superscript"/>
        </w:rPr>
        <w:t>1,2</w:t>
      </w:r>
      <w:r w:rsidRPr="00FE1FF3">
        <w:rPr>
          <w:i/>
          <w:iCs/>
        </w:rPr>
        <w:t>, Аксентьев А.Е.</w:t>
      </w:r>
      <w:r w:rsidRPr="00FE1FF3">
        <w:rPr>
          <w:i/>
          <w:iCs/>
          <w:vertAlign w:val="superscript"/>
        </w:rPr>
        <w:t>1,2,3</w:t>
      </w:r>
      <w:r w:rsidRPr="00FE1FF3">
        <w:rPr>
          <w:i/>
          <w:iCs/>
        </w:rPr>
        <w:t>, Мельников А.А.</w:t>
      </w:r>
      <w:r w:rsidRPr="00FE1FF3">
        <w:rPr>
          <w:i/>
          <w:iCs/>
          <w:vertAlign w:val="superscript"/>
        </w:rPr>
        <w:t>1,2,4</w:t>
      </w:r>
      <w:r w:rsidRPr="00FE1FF3">
        <w:rPr>
          <w:i/>
          <w:iCs/>
        </w:rPr>
        <w:t>, Сеничев Ю.В.</w:t>
      </w:r>
      <w:r w:rsidRPr="00FE1FF3">
        <w:rPr>
          <w:i/>
          <w:iCs/>
          <w:vertAlign w:val="superscript"/>
        </w:rPr>
        <w:t>1,2</w:t>
      </w:r>
    </w:p>
    <w:p w14:paraId="00C0606F" w14:textId="3D09C0C4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1</w:t>
      </w:r>
      <w:r w:rsidRPr="00FE1FF3">
        <w:rPr>
          <w:i/>
          <w:iCs/>
        </w:rPr>
        <w:t>Институт Ядерных Исследований РАН, Москва, Россия,</w:t>
      </w:r>
    </w:p>
    <w:p w14:paraId="3A34FFDC" w14:textId="33777140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2</w:t>
      </w:r>
      <w:r w:rsidRPr="00FE1FF3">
        <w:rPr>
          <w:i/>
          <w:iCs/>
        </w:rPr>
        <w:t>Московский Физико-Технический Институт, Долгопрудный, Россия,</w:t>
      </w:r>
    </w:p>
    <w:p w14:paraId="45EA8782" w14:textId="5ABAA15F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3</w:t>
      </w:r>
      <w:r w:rsidRPr="00FE1FF3">
        <w:rPr>
          <w:i/>
          <w:iCs/>
        </w:rPr>
        <w:t>Московский инженерно-физический институт, Москва, Россия,</w:t>
      </w:r>
    </w:p>
    <w:p w14:paraId="44CDA662" w14:textId="2074D485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4</w:t>
      </w:r>
      <w:r w:rsidRPr="00FE1FF3">
        <w:rPr>
          <w:i/>
          <w:iCs/>
        </w:rPr>
        <w:t>Институт теоретической физики им. Л.Д. Ландау, Черноголовка, Россия</w:t>
      </w:r>
    </w:p>
    <w:p w14:paraId="26E2F53E" w14:textId="77777777" w:rsidR="005415E5" w:rsidRPr="00FE1FF3" w:rsidRDefault="005415E5" w:rsidP="00FE1FF3">
      <w:pPr>
        <w:pStyle w:val="Default"/>
        <w:jc w:val="center"/>
        <w:rPr>
          <w:i/>
          <w:iCs/>
        </w:rPr>
      </w:pPr>
    </w:p>
    <w:p w14:paraId="11A17056" w14:textId="6508093F" w:rsidR="009A7878" w:rsidRDefault="00CD36A2" w:rsidP="00ED1FD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1FF3">
        <w:rPr>
          <w:rFonts w:ascii="Times New Roman" w:hAnsi="Times New Roman" w:cs="Times New Roman"/>
          <w:sz w:val="24"/>
          <w:szCs w:val="24"/>
        </w:rPr>
        <w:t xml:space="preserve">В данной работе показан принципиальный подход при проектировании структуры кольца в форме восьмерки для выполнения </w:t>
      </w:r>
      <w:r w:rsidR="0070674B" w:rsidRPr="00FE1FF3">
        <w:rPr>
          <w:rFonts w:ascii="Times New Roman" w:hAnsi="Times New Roman" w:cs="Times New Roman"/>
          <w:sz w:val="24"/>
          <w:szCs w:val="24"/>
        </w:rPr>
        <w:t>нескольких</w:t>
      </w:r>
      <w:r w:rsidRPr="00FE1FF3">
        <w:rPr>
          <w:rFonts w:ascii="Times New Roman" w:hAnsi="Times New Roman" w:cs="Times New Roman"/>
          <w:sz w:val="24"/>
          <w:szCs w:val="24"/>
        </w:rPr>
        <w:t xml:space="preserve">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</w:t>
      </w:r>
      <w:r w:rsidR="00FC0BFF" w:rsidRPr="00FE1FF3">
        <w:rPr>
          <w:rFonts w:ascii="Times New Roman" w:hAnsi="Times New Roman" w:cs="Times New Roman"/>
          <w:sz w:val="24"/>
          <w:szCs w:val="24"/>
        </w:rPr>
        <w:t xml:space="preserve"> </w:t>
      </w:r>
      <w:r w:rsidRPr="00FE1FF3">
        <w:rPr>
          <w:rFonts w:ascii="Times New Roman" w:hAnsi="Times New Roman" w:cs="Times New Roman"/>
          <w:sz w:val="24"/>
          <w:szCs w:val="24"/>
        </w:rPr>
        <w:t xml:space="preserve">данная структура может быть использована для экспериментов по измерению ЭДМ и поиску </w:t>
      </w:r>
      <w:proofErr w:type="spellStart"/>
      <w:r w:rsidRPr="00FE1FF3">
        <w:rPr>
          <w:rFonts w:ascii="Times New Roman" w:hAnsi="Times New Roman" w:cs="Times New Roman"/>
          <w:sz w:val="24"/>
          <w:szCs w:val="24"/>
        </w:rPr>
        <w:t>аксиона</w:t>
      </w:r>
      <w:proofErr w:type="spellEnd"/>
      <w:r w:rsidRPr="00FE1FF3">
        <w:rPr>
          <w:rFonts w:ascii="Times New Roman" w:hAnsi="Times New Roman" w:cs="Times New Roman"/>
          <w:sz w:val="24"/>
          <w:szCs w:val="24"/>
        </w:rPr>
        <w:t>. В-третьих, структура может быть адаптирована для ускорения тяжелоионного пучка.</w:t>
      </w:r>
    </w:p>
    <w:p w14:paraId="005794AD" w14:textId="77777777" w:rsidR="00ED1FDA" w:rsidRPr="001E7A1D" w:rsidRDefault="00ED1FDA" w:rsidP="00ED1FDA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DCFF5C" w14:textId="0BD5388C" w:rsidR="004B5898" w:rsidRPr="00FE1FF3" w:rsidRDefault="004B5898" w:rsidP="00FE1FF3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1FF3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OF THE MAGNETO-OPTICAL STRUCTURE OF</w:t>
      </w:r>
      <w:r w:rsidR="009A7878" w:rsidRPr="00FE1FF3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FE1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</w:t>
      </w:r>
      <w:bookmarkStart w:id="0" w:name="_Hlk202379478"/>
      <w:r w:rsidRPr="00FE1FF3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MULTIFUNCTIONAL FIGURE-8 RING</w:t>
      </w:r>
      <w:bookmarkEnd w:id="0"/>
    </w:p>
    <w:p w14:paraId="6D0585E4" w14:textId="25FFD854" w:rsidR="004B5898" w:rsidRPr="00ED1FDA" w:rsidRDefault="00ED1FDA" w:rsidP="00ED1FDA">
      <w:pPr>
        <w:pStyle w:val="Default"/>
        <w:jc w:val="center"/>
        <w:rPr>
          <w:i/>
          <w:iCs/>
          <w:lang w:val="en-US"/>
        </w:rPr>
      </w:pPr>
      <w:proofErr w:type="spellStart"/>
      <w:r w:rsidRPr="00ED1FDA">
        <w:rPr>
          <w:i/>
          <w:iCs/>
          <w:u w:val="single"/>
          <w:lang w:val="en-US"/>
        </w:rPr>
        <w:t>Kolokolchikov</w:t>
      </w:r>
      <w:proofErr w:type="spellEnd"/>
      <w:r w:rsidRPr="00ED1FDA">
        <w:rPr>
          <w:i/>
          <w:iCs/>
          <w:u w:val="single"/>
          <w:lang w:val="en-GB"/>
        </w:rPr>
        <w:t xml:space="preserve"> S</w:t>
      </w:r>
      <w:r w:rsidRPr="00ED1FDA">
        <w:rPr>
          <w:i/>
          <w:iCs/>
          <w:u w:val="single"/>
          <w:lang w:val="en-US"/>
        </w:rPr>
        <w:t>.D.</w:t>
      </w:r>
      <w:r w:rsidRPr="00ED1FDA">
        <w:rPr>
          <w:i/>
          <w:iCs/>
          <w:u w:val="single"/>
          <w:vertAlign w:val="superscript"/>
          <w:lang w:val="en-US"/>
        </w:rPr>
        <w:t>1,2</w:t>
      </w:r>
      <w:r w:rsidRPr="00ED1FDA">
        <w:rPr>
          <w:i/>
          <w:iCs/>
          <w:lang w:val="en-US"/>
        </w:rPr>
        <w:t xml:space="preserve">, </w:t>
      </w:r>
      <w:proofErr w:type="spellStart"/>
      <w:r w:rsidRPr="00ED1FDA">
        <w:rPr>
          <w:i/>
          <w:iCs/>
          <w:lang w:val="en-US"/>
        </w:rPr>
        <w:t>Aksentyev</w:t>
      </w:r>
      <w:proofErr w:type="spellEnd"/>
      <w:r w:rsidRPr="00ED1FDA">
        <w:rPr>
          <w:i/>
          <w:iCs/>
          <w:lang w:val="en-US"/>
        </w:rPr>
        <w:t xml:space="preserve"> </w:t>
      </w:r>
      <w:r w:rsidRPr="00ED1FDA">
        <w:rPr>
          <w:i/>
          <w:iCs/>
          <w:lang w:val="en-GB"/>
        </w:rPr>
        <w:t>A</w:t>
      </w:r>
      <w:r w:rsidRPr="00ED1FDA">
        <w:rPr>
          <w:i/>
          <w:iCs/>
          <w:lang w:val="en-US"/>
        </w:rPr>
        <w:t>.E.</w:t>
      </w:r>
      <w:r w:rsidRPr="00ED1FDA">
        <w:rPr>
          <w:i/>
          <w:iCs/>
          <w:vertAlign w:val="superscript"/>
          <w:lang w:val="en-US"/>
        </w:rPr>
        <w:t>1,2,3</w:t>
      </w:r>
      <w:r w:rsidRPr="00ED1FDA">
        <w:rPr>
          <w:i/>
          <w:iCs/>
          <w:lang w:val="en-US"/>
        </w:rPr>
        <w:t>, Melnikov,</w:t>
      </w:r>
      <w:r w:rsidRPr="00ED1FDA">
        <w:rPr>
          <w:i/>
          <w:iCs/>
          <w:lang w:val="en-GB"/>
        </w:rPr>
        <w:t xml:space="preserve"> A</w:t>
      </w:r>
      <w:r w:rsidRPr="00ED1FDA">
        <w:rPr>
          <w:i/>
          <w:iCs/>
          <w:lang w:val="en-US"/>
        </w:rPr>
        <w:t>.A.</w:t>
      </w:r>
      <w:r w:rsidRPr="00ED1FDA">
        <w:rPr>
          <w:i/>
          <w:iCs/>
          <w:vertAlign w:val="superscript"/>
          <w:lang w:val="en-US"/>
        </w:rPr>
        <w:t>1,2,4</w:t>
      </w:r>
      <w:r w:rsidRPr="00ED1FDA">
        <w:rPr>
          <w:i/>
          <w:iCs/>
          <w:lang w:val="en-US"/>
        </w:rPr>
        <w:t xml:space="preserve">, </w:t>
      </w:r>
      <w:proofErr w:type="spellStart"/>
      <w:r w:rsidRPr="00ED1FDA">
        <w:rPr>
          <w:i/>
          <w:iCs/>
          <w:lang w:val="en-US"/>
        </w:rPr>
        <w:t>Senichev</w:t>
      </w:r>
      <w:proofErr w:type="spellEnd"/>
      <w:r w:rsidRPr="00ED1FDA">
        <w:rPr>
          <w:i/>
          <w:iCs/>
          <w:lang w:val="en-US"/>
        </w:rPr>
        <w:t xml:space="preserve"> Yu.V.</w:t>
      </w:r>
      <w:r w:rsidRPr="00ED1FDA">
        <w:rPr>
          <w:i/>
          <w:iCs/>
          <w:vertAlign w:val="superscript"/>
          <w:lang w:val="en-US"/>
        </w:rPr>
        <w:t>1,2</w:t>
      </w:r>
      <w:r w:rsidRPr="00ED1FDA">
        <w:rPr>
          <w:i/>
          <w:iCs/>
          <w:lang w:val="en-US"/>
        </w:rPr>
        <w:t xml:space="preserve"> </w:t>
      </w:r>
    </w:p>
    <w:p w14:paraId="0B568E8D" w14:textId="77777777" w:rsidR="004B5898" w:rsidRPr="00FE1FF3" w:rsidRDefault="004B5898" w:rsidP="00FE1FF3">
      <w:pPr>
        <w:pStyle w:val="Default"/>
        <w:jc w:val="center"/>
        <w:rPr>
          <w:i/>
          <w:iCs/>
          <w:lang w:val="en-US"/>
        </w:rPr>
      </w:pPr>
      <w:r w:rsidRPr="00FE1FF3">
        <w:rPr>
          <w:i/>
          <w:iCs/>
          <w:vertAlign w:val="superscript"/>
          <w:lang w:val="en-US"/>
        </w:rPr>
        <w:t>1</w:t>
      </w:r>
      <w:r w:rsidRPr="00FE1FF3">
        <w:rPr>
          <w:i/>
          <w:iCs/>
          <w:lang w:val="en-US"/>
        </w:rPr>
        <w:t>Institute for Nuclear Research RAS, Moscow, Russia</w:t>
      </w:r>
    </w:p>
    <w:p w14:paraId="5E70263F" w14:textId="2FBDEBDB" w:rsidR="004B5898" w:rsidRPr="00FE1FF3" w:rsidRDefault="004B5898" w:rsidP="00FE1FF3">
      <w:pPr>
        <w:pStyle w:val="Default"/>
        <w:jc w:val="center"/>
        <w:rPr>
          <w:i/>
          <w:iCs/>
          <w:lang w:val="en-US"/>
        </w:rPr>
      </w:pPr>
      <w:r w:rsidRPr="00FE1FF3">
        <w:rPr>
          <w:i/>
          <w:iCs/>
          <w:vertAlign w:val="superscript"/>
          <w:lang w:val="en-US"/>
        </w:rPr>
        <w:t>1</w:t>
      </w:r>
      <w:r w:rsidRPr="00FE1FF3">
        <w:rPr>
          <w:i/>
          <w:iCs/>
          <w:lang w:val="en-US"/>
        </w:rPr>
        <w:t xml:space="preserve">Moscow Institute of Physics and Technology, </w:t>
      </w:r>
      <w:proofErr w:type="spellStart"/>
      <w:r w:rsidRPr="00FE1FF3">
        <w:rPr>
          <w:i/>
          <w:iCs/>
          <w:lang w:val="en-US"/>
        </w:rPr>
        <w:t>Dolgoprudny</w:t>
      </w:r>
      <w:proofErr w:type="spellEnd"/>
      <w:r w:rsidRPr="00FE1FF3">
        <w:rPr>
          <w:i/>
          <w:iCs/>
          <w:lang w:val="en-US"/>
        </w:rPr>
        <w:t>, Russia,</w:t>
      </w:r>
    </w:p>
    <w:p w14:paraId="0F782E88" w14:textId="595462E7" w:rsidR="004B5898" w:rsidRPr="00FE1FF3" w:rsidRDefault="004B5898" w:rsidP="00FE1FF3">
      <w:pPr>
        <w:pStyle w:val="Default"/>
        <w:jc w:val="center"/>
        <w:rPr>
          <w:i/>
          <w:iCs/>
          <w:lang w:val="en-US"/>
        </w:rPr>
      </w:pPr>
      <w:r w:rsidRPr="00FE1FF3">
        <w:rPr>
          <w:i/>
          <w:iCs/>
          <w:vertAlign w:val="superscript"/>
          <w:lang w:val="en-GB"/>
        </w:rPr>
        <w:t>3</w:t>
      </w:r>
      <w:r w:rsidRPr="00FE1FF3">
        <w:rPr>
          <w:i/>
          <w:iCs/>
          <w:lang w:val="en-US"/>
        </w:rPr>
        <w:t>Moscow Engineering Physics Institute, Moscow, Russia</w:t>
      </w:r>
    </w:p>
    <w:p w14:paraId="59B0C1BE" w14:textId="6F30301B" w:rsidR="004B5898" w:rsidRPr="00FE1FF3" w:rsidRDefault="004B5898" w:rsidP="00FE1FF3">
      <w:pPr>
        <w:pStyle w:val="Default"/>
        <w:jc w:val="center"/>
        <w:rPr>
          <w:i/>
          <w:iCs/>
          <w:lang w:val="en-US"/>
        </w:rPr>
      </w:pPr>
      <w:r w:rsidRPr="00FE1FF3">
        <w:rPr>
          <w:i/>
          <w:iCs/>
          <w:vertAlign w:val="superscript"/>
          <w:lang w:val="en-GB"/>
        </w:rPr>
        <w:t>4</w:t>
      </w:r>
      <w:r w:rsidRPr="00FE1FF3">
        <w:rPr>
          <w:i/>
          <w:iCs/>
          <w:lang w:val="en-US"/>
        </w:rPr>
        <w:t xml:space="preserve">Institute for Theoretical Physics. L.D. Landau, </w:t>
      </w:r>
      <w:proofErr w:type="spellStart"/>
      <w:r w:rsidRPr="00FE1FF3">
        <w:rPr>
          <w:i/>
          <w:iCs/>
          <w:lang w:val="en-US"/>
        </w:rPr>
        <w:t>Chernogolovka</w:t>
      </w:r>
      <w:proofErr w:type="spellEnd"/>
      <w:r w:rsidRPr="00FE1FF3">
        <w:rPr>
          <w:i/>
          <w:iCs/>
          <w:lang w:val="en-US"/>
        </w:rPr>
        <w:t>, Russia</w:t>
      </w:r>
    </w:p>
    <w:p w14:paraId="26B26276" w14:textId="5AEAFE4C" w:rsidR="009A7878" w:rsidRPr="00FE1FF3" w:rsidRDefault="009A7878" w:rsidP="00FE1FF3">
      <w:pPr>
        <w:pStyle w:val="Default"/>
        <w:jc w:val="both"/>
        <w:rPr>
          <w:lang w:val="en-US"/>
        </w:rPr>
      </w:pPr>
    </w:p>
    <w:p w14:paraId="55B22D44" w14:textId="31FD8D32" w:rsidR="00FC0BFF" w:rsidRDefault="00FC0BFF" w:rsidP="00FE1FF3">
      <w:pPr>
        <w:pStyle w:val="Default"/>
        <w:ind w:firstLine="708"/>
        <w:jc w:val="both"/>
        <w:rPr>
          <w:lang w:val="en-US"/>
        </w:rPr>
      </w:pPr>
      <w:r w:rsidRPr="00FE1FF3">
        <w:rPr>
          <w:lang w:val="en-US"/>
        </w:rPr>
        <w:t>The article presents a fundamental approach to figure-eight ring structure for multiple physical programs. Firstly, the unique shape of the ring resolves the issue of spin resonance crossings during the acceleration of a polarized beam. Secondly, this structure can be used for Electric Dipole Moment (EDM) measuring experiments and axion search. Thirdly, the structure can be adapted for heavy-ion beam acceleration.</w:t>
      </w:r>
    </w:p>
    <w:p w14:paraId="671E7547" w14:textId="168614E3" w:rsidR="00FE1FF3" w:rsidRDefault="00FE1FF3" w:rsidP="00FE1FF3">
      <w:pPr>
        <w:pStyle w:val="Default"/>
        <w:ind w:firstLine="708"/>
        <w:jc w:val="both"/>
        <w:rPr>
          <w:lang w:val="en-US"/>
        </w:rPr>
      </w:pPr>
    </w:p>
    <w:p w14:paraId="30DC181D" w14:textId="54870B99" w:rsidR="00FE1FF3" w:rsidRDefault="00FE1FF3" w:rsidP="00FE1FF3">
      <w:pPr>
        <w:pStyle w:val="Default"/>
        <w:ind w:firstLine="708"/>
        <w:jc w:val="both"/>
      </w:pPr>
      <w:r>
        <w:t>Ускорение поляризованного пучка представляет большой интерес для коллайдер</w:t>
      </w:r>
      <w:r w:rsidR="00D30AEB">
        <w:t>ных</w:t>
      </w:r>
      <w:r>
        <w:t xml:space="preserve"> эксперименто</w:t>
      </w:r>
      <w:r w:rsidR="00D30AEB">
        <w:t>в. При этом возникает проблема пересечения различного рода спиновых резонансов</w:t>
      </w:r>
      <w:r w:rsidR="004C5E66">
        <w:t>, приводящих к деполяризации пучка. При использовании кольца в форме восьмерки одна арка компенсирует прецессию спина под действием Магнитного Дипольного Момента (МДМ), вызван</w:t>
      </w:r>
      <w:r w:rsidR="009767BA">
        <w:t>ную</w:t>
      </w:r>
      <w:r w:rsidR="004C5E66">
        <w:t xml:space="preserve"> другой. Таким образом, частота вращения спина (</w:t>
      </w:r>
      <w:r w:rsidR="004C5E66">
        <w:rPr>
          <w:lang w:val="en-US"/>
        </w:rPr>
        <w:t>spin</w:t>
      </w:r>
      <w:r w:rsidR="004C5E66" w:rsidRPr="004C5E66">
        <w:t xml:space="preserve"> </w:t>
      </w:r>
      <w:r w:rsidR="004C5E66">
        <w:rPr>
          <w:lang w:val="en-US"/>
        </w:rPr>
        <w:t>tune</w:t>
      </w:r>
      <w:r w:rsidR="004C5E66">
        <w:t>) равна нулю и кольцо</w:t>
      </w:r>
      <w:r w:rsidR="00EC18F8">
        <w:t xml:space="preserve"> становится спин-прозрачным (</w:t>
      </w:r>
      <w:r w:rsidR="00EC18F8">
        <w:rPr>
          <w:lang w:val="en-US"/>
        </w:rPr>
        <w:t>Spin</w:t>
      </w:r>
      <w:r w:rsidR="00EC18F8" w:rsidRPr="00EC18F8">
        <w:t xml:space="preserve"> </w:t>
      </w:r>
      <w:r w:rsidR="00EC18F8">
        <w:rPr>
          <w:lang w:val="en-US"/>
        </w:rPr>
        <w:t>Transparence</w:t>
      </w:r>
      <w:r w:rsidR="00EC18F8" w:rsidRPr="00EC18F8">
        <w:t xml:space="preserve"> </w:t>
      </w:r>
      <w:r w:rsidR="00CD4517">
        <w:t>–</w:t>
      </w:r>
      <w:r w:rsidR="009767BA">
        <w:softHyphen/>
      </w:r>
      <w:r w:rsidR="00EC18F8">
        <w:softHyphen/>
        <w:t xml:space="preserve"> </w:t>
      </w:r>
      <w:r w:rsidR="00EC18F8">
        <w:rPr>
          <w:lang w:val="en-US"/>
        </w:rPr>
        <w:t>ST</w:t>
      </w:r>
      <w:r w:rsidR="00EC18F8">
        <w:t xml:space="preserve">) </w:t>
      </w:r>
      <w:r w:rsidR="00EC18F8" w:rsidRPr="00EC18F8">
        <w:t>[1].</w:t>
      </w:r>
    </w:p>
    <w:p w14:paraId="0BF3C63C" w14:textId="77777777" w:rsidR="001C679E" w:rsidRDefault="00EC18F8" w:rsidP="001C679E">
      <w:pPr>
        <w:pStyle w:val="Default"/>
        <w:ind w:firstLine="708"/>
        <w:jc w:val="both"/>
      </w:pPr>
      <w:r>
        <w:t>Для поляризованных протонных пучков возникает задача по преодолению критической энергии</w:t>
      </w:r>
      <w:r w:rsidRPr="00EC18F8">
        <w:t xml:space="preserve">. </w:t>
      </w:r>
      <w:r>
        <w:t xml:space="preserve">Для решения этой проблемы применяется метод вариации </w:t>
      </w:r>
      <w:r w:rsidR="001C679E">
        <w:t xml:space="preserve">дисперсионной функции </w:t>
      </w:r>
      <w:r w:rsidRPr="00A45521">
        <w:t>[2]</w:t>
      </w:r>
      <w:r>
        <w:t>.</w:t>
      </w:r>
      <w:r w:rsidR="001C679E">
        <w:t xml:space="preserve"> Таким образом, критическая энергия поднимается выше энергии эксперимента или даже достигать комплексного значения.</w:t>
      </w:r>
    </w:p>
    <w:p w14:paraId="11F50B76" w14:textId="2C561DAA" w:rsidR="001C679E" w:rsidRDefault="00A45521" w:rsidP="001C679E">
      <w:pPr>
        <w:pStyle w:val="Default"/>
        <w:ind w:firstLine="708"/>
        <w:jc w:val="both"/>
      </w:pPr>
      <w:r>
        <w:t>Представленная структура может быть использована на низких энергия для изучения ЭДМ дейтрона методом квази-замороженного спина</w:t>
      </w:r>
      <w:r w:rsidR="00ED1FDA" w:rsidRPr="00ED1FDA">
        <w:t xml:space="preserve"> [3]</w:t>
      </w:r>
      <w:r>
        <w:t>. В этом случае, необходимо введения на прямых участках 2-х соленоидов и 2-х фильтров Вина для накопления ЭДМ-сигнала. Поворотные арки моделируются таким образом, чтобы реализовать 3 независимых семейства секступолей для достижения спиновой когерентности поляризованного пучка.</w:t>
      </w:r>
      <w:r w:rsidR="001C679E">
        <w:t xml:space="preserve"> </w:t>
      </w:r>
      <w:r>
        <w:t xml:space="preserve">Использование восьмиобразного кольца в виде широкополосной </w:t>
      </w:r>
      <w:proofErr w:type="spellStart"/>
      <w:r>
        <w:t>аксионной</w:t>
      </w:r>
      <w:proofErr w:type="spellEnd"/>
      <w:r>
        <w:t xml:space="preserve"> антенны обладает преимуществом</w:t>
      </w:r>
      <w:r w:rsidR="001C679E" w:rsidRPr="001C679E">
        <w:t xml:space="preserve"> </w:t>
      </w:r>
      <w:r w:rsidR="001C679E">
        <w:t xml:space="preserve">исследования </w:t>
      </w:r>
      <w:r w:rsidR="001C679E" w:rsidRPr="00D02C5A">
        <w:t xml:space="preserve">в области низких частот </w:t>
      </w:r>
      <w:r w:rsidR="001C679E">
        <w:t>g</w:t>
      </w:r>
      <w:r w:rsidR="001C679E" w:rsidRPr="00D02C5A">
        <w:t>-2 прецессии</w:t>
      </w:r>
      <w:r w:rsidR="00ED1FDA" w:rsidRPr="00ED1FDA">
        <w:t xml:space="preserve"> [4]</w:t>
      </w:r>
      <w:r w:rsidR="001C679E">
        <w:t>.</w:t>
      </w:r>
    </w:p>
    <w:p w14:paraId="4AF437C9" w14:textId="5FD2A1C2" w:rsidR="00FE1FF3" w:rsidRDefault="001C679E" w:rsidP="00ED1FDA">
      <w:pPr>
        <w:pStyle w:val="Default"/>
        <w:jc w:val="both"/>
      </w:pPr>
      <w:r>
        <w:tab/>
        <w:t xml:space="preserve">Применение структуры также возможно для тяжелоионного пучка, при этом ключевым требованием является достижение высокого времени жизни пучка. </w:t>
      </w:r>
      <w:r w:rsidR="005E5144">
        <w:t xml:space="preserve">Для этого влияние </w:t>
      </w:r>
      <w:proofErr w:type="spellStart"/>
      <w:r w:rsidR="005E5144">
        <w:t>внутрипучкового</w:t>
      </w:r>
      <w:proofErr w:type="spellEnd"/>
      <w:r w:rsidR="005E5144">
        <w:t xml:space="preserve"> рассеяния (ВПР) должно быть скомпенсировано электронным и </w:t>
      </w:r>
      <w:r w:rsidR="005E5144">
        <w:lastRenderedPageBreak/>
        <w:t xml:space="preserve">стохастическим охлаждением, что эффективно может быть получено в структуре с минимально модулированными </w:t>
      </w:r>
      <w:proofErr w:type="spellStart"/>
      <w:r w:rsidR="00D00FF8">
        <w:t>т</w:t>
      </w:r>
      <w:r w:rsidR="005E5144">
        <w:t>висс</w:t>
      </w:r>
      <w:proofErr w:type="spellEnd"/>
      <w:r w:rsidR="005E5144">
        <w:t>-функциями</w:t>
      </w:r>
      <w:r w:rsidR="00D00FF8">
        <w:t>.</w:t>
      </w:r>
    </w:p>
    <w:p w14:paraId="2E947BF9" w14:textId="77777777" w:rsidR="00ED1FDA" w:rsidRPr="00FE1FF3" w:rsidRDefault="00ED1FDA" w:rsidP="00ED1FDA">
      <w:pPr>
        <w:pStyle w:val="Default"/>
        <w:jc w:val="both"/>
      </w:pPr>
    </w:p>
    <w:p w14:paraId="0FAEC1EE" w14:textId="0039F8B9" w:rsidR="00FE1FF3" w:rsidRPr="00FE1FF3" w:rsidRDefault="009A7878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E1FF3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литературы</w:t>
      </w:r>
    </w:p>
    <w:p w14:paraId="4B077672" w14:textId="77777777" w:rsidR="00FE1FF3" w:rsidRPr="00FE1FF3" w:rsidRDefault="00FE1FF3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B5A4104" w14:textId="77777777" w:rsidR="00ED1FDA" w:rsidRDefault="00FE1FF3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</w:t>
      </w:r>
      <w:proofErr w:type="spellEnd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S. </w:t>
      </w:r>
      <w:proofErr w:type="spellStart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 Polarization Preservation and Control in a Figure-8 Ring, </w:t>
      </w:r>
      <w:proofErr w:type="spellStart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Int.J.Mod.Phys.Conf.Ser</w:t>
      </w:r>
      <w:proofErr w:type="spellEnd"/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40 (2016) 01, 166009 DOI: 10.1142/S2010194516600909</w:t>
      </w:r>
    </w:p>
    <w:p w14:paraId="3E677569" w14:textId="77777777" w:rsid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Senichev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Y.V.,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Chechenin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A.N. Theory of “Resonant” lattices for synchrotrons with negative momentum compaction factor. J. Exp.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Theor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Phys. 105, 988–997 (2007).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DOI: </w:t>
      </w: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10.1134/S1063776107110118</w:t>
      </w:r>
    </w:p>
    <w:p w14:paraId="200EEC6D" w14:textId="234F9081" w:rsidR="00ED1FDA" w:rsidRP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Yu.Senichev</w:t>
      </w:r>
      <w:proofErr w:type="spellEnd"/>
      <w:proofErr w:type="gram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al., in ICAP2015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Proccedings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Shanghai, 2016, ed. by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C.Kwok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R.W.Volker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T.Chuanxiang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Y.Heping</w:t>
      </w:r>
      <w:proofErr w:type="spellEnd"/>
    </w:p>
    <w:p w14:paraId="0F3619F8" w14:textId="7BC5C25C" w:rsidR="001E7A1D" w:rsidRPr="001E7A1D" w:rsidRDefault="00ED1FDA" w:rsidP="001E7A1D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</w:t>
      </w:r>
      <w:proofErr w:type="gram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N.Nikolaev</w:t>
      </w:r>
      <w:proofErr w:type="spellEnd"/>
      <w:proofErr w:type="gram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Spin of protons in NICA and PTR storage rings as an axion antenna. </w:t>
      </w:r>
      <w:proofErr w:type="spellStart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Jetp</w:t>
      </w:r>
      <w:proofErr w:type="spellEnd"/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115, 639–643 (2022). DOI: 10.1134/S0021364022600653</w:t>
      </w:r>
    </w:p>
    <w:sectPr w:rsidR="001E7A1D" w:rsidRPr="001E7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57A57"/>
    <w:multiLevelType w:val="hybridMultilevel"/>
    <w:tmpl w:val="85E06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A0AF0"/>
    <w:multiLevelType w:val="hybridMultilevel"/>
    <w:tmpl w:val="FD78A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4F"/>
    <w:rsid w:val="00175FD8"/>
    <w:rsid w:val="001C4952"/>
    <w:rsid w:val="001C679E"/>
    <w:rsid w:val="001E7A1D"/>
    <w:rsid w:val="00201DCE"/>
    <w:rsid w:val="002E654F"/>
    <w:rsid w:val="004B5898"/>
    <w:rsid w:val="004C5E66"/>
    <w:rsid w:val="005415E5"/>
    <w:rsid w:val="00586E00"/>
    <w:rsid w:val="005E5144"/>
    <w:rsid w:val="00675F7C"/>
    <w:rsid w:val="0070674B"/>
    <w:rsid w:val="00891355"/>
    <w:rsid w:val="009767BA"/>
    <w:rsid w:val="009A7878"/>
    <w:rsid w:val="009C6BBD"/>
    <w:rsid w:val="00A45521"/>
    <w:rsid w:val="00CD0431"/>
    <w:rsid w:val="00CD36A2"/>
    <w:rsid w:val="00CD4517"/>
    <w:rsid w:val="00CD5F89"/>
    <w:rsid w:val="00D00FF8"/>
    <w:rsid w:val="00D30AEB"/>
    <w:rsid w:val="00DC431E"/>
    <w:rsid w:val="00E87AB3"/>
    <w:rsid w:val="00EC18F8"/>
    <w:rsid w:val="00ED1FDA"/>
    <w:rsid w:val="00FC0BFF"/>
    <w:rsid w:val="00FE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EE96"/>
  <w15:chartTrackingRefBased/>
  <w15:docId w15:val="{DB2381DA-1ABE-44F9-B978-7E1505A2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54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41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9A7878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Normal (Web)"/>
    <w:basedOn w:val="a"/>
    <w:uiPriority w:val="99"/>
    <w:semiHidden/>
    <w:unhideWhenUsed/>
    <w:rsid w:val="00FE1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FE1FF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E1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0BA9-342C-460A-B584-FC747145D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17</cp:revision>
  <dcterms:created xsi:type="dcterms:W3CDTF">2025-06-30T10:19:00Z</dcterms:created>
  <dcterms:modified xsi:type="dcterms:W3CDTF">2025-07-02T17:20:00Z</dcterms:modified>
</cp:coreProperties>
</file>