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0AFB3" w14:textId="77777777" w:rsidR="001E785F" w:rsidRDefault="003914C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ОСОБЕННОСТИ МАГНИТООПТИЧЕСКОЙ СТРУКТУРЫ МНОГОФУНКЦИОНАЛЬНОГО КОЛЬЦА В ФОРМЕ </w:t>
      </w:r>
      <w:r>
        <w:rPr>
          <w:rFonts w:ascii="Times New Roman" w:hAnsi="Times New Roman"/>
          <w:b/>
          <w:bCs/>
          <w:sz w:val="24"/>
          <w:szCs w:val="24"/>
        </w:rPr>
        <w:t>8</w:t>
      </w:r>
    </w:p>
    <w:p w14:paraId="5D6141F6" w14:textId="77777777" w:rsidR="001E785F" w:rsidRDefault="003914C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u w:val="single"/>
        </w:rPr>
        <w:t>Колокольчиков С</w:t>
      </w:r>
      <w:r>
        <w:rPr>
          <w:rFonts w:ascii="Times New Roman" w:hAnsi="Times New Roman"/>
          <w:i/>
          <w:iCs/>
          <w:u w:val="single"/>
        </w:rPr>
        <w:t>.</w:t>
      </w:r>
      <w:r>
        <w:rPr>
          <w:rFonts w:ascii="Times New Roman" w:hAnsi="Times New Roman"/>
          <w:i/>
          <w:iCs/>
          <w:u w:val="single"/>
        </w:rPr>
        <w:t>Д</w:t>
      </w:r>
      <w:r>
        <w:rPr>
          <w:rFonts w:ascii="Times New Roman" w:hAnsi="Times New Roman"/>
          <w:i/>
          <w:iCs/>
          <w:u w:val="single"/>
        </w:rPr>
        <w:t>.</w:t>
      </w:r>
      <w:r>
        <w:rPr>
          <w:rFonts w:ascii="Times New Roman" w:hAnsi="Times New Roman"/>
          <w:i/>
          <w:iCs/>
          <w:u w:val="single"/>
          <w:vertAlign w:val="superscript"/>
        </w:rPr>
        <w:t>1,2</w:t>
      </w:r>
      <w:r>
        <w:rPr>
          <w:rFonts w:ascii="Times New Roman" w:hAnsi="Times New Roman"/>
          <w:i/>
          <w:iCs/>
        </w:rPr>
        <w:t xml:space="preserve">, </w:t>
      </w:r>
      <w:r>
        <w:rPr>
          <w:rFonts w:ascii="Times New Roman" w:hAnsi="Times New Roman"/>
          <w:i/>
          <w:iCs/>
        </w:rPr>
        <w:t>Аксентьев А</w:t>
      </w:r>
      <w:r>
        <w:rPr>
          <w:rFonts w:ascii="Times New Roman" w:hAnsi="Times New Roman"/>
          <w:i/>
          <w:iCs/>
        </w:rPr>
        <w:t>.</w:t>
      </w:r>
      <w:r>
        <w:rPr>
          <w:rFonts w:ascii="Times New Roman" w:hAnsi="Times New Roman"/>
          <w:i/>
          <w:iCs/>
        </w:rPr>
        <w:t>Е</w:t>
      </w:r>
      <w:r>
        <w:rPr>
          <w:rFonts w:ascii="Times New Roman" w:hAnsi="Times New Roman"/>
          <w:i/>
          <w:iCs/>
        </w:rPr>
        <w:t>.</w:t>
      </w:r>
      <w:r>
        <w:rPr>
          <w:rFonts w:ascii="Times New Roman" w:hAnsi="Times New Roman"/>
          <w:i/>
          <w:iCs/>
          <w:vertAlign w:val="superscript"/>
        </w:rPr>
        <w:t>1,2,3</w:t>
      </w:r>
      <w:r>
        <w:rPr>
          <w:rFonts w:ascii="Times New Roman" w:hAnsi="Times New Roman"/>
          <w:i/>
          <w:iCs/>
        </w:rPr>
        <w:t xml:space="preserve">, </w:t>
      </w:r>
      <w:r>
        <w:rPr>
          <w:rFonts w:ascii="Times New Roman" w:hAnsi="Times New Roman"/>
          <w:i/>
          <w:iCs/>
        </w:rPr>
        <w:t>Мельников А</w:t>
      </w:r>
      <w:r>
        <w:rPr>
          <w:rFonts w:ascii="Times New Roman" w:hAnsi="Times New Roman"/>
          <w:i/>
          <w:iCs/>
        </w:rPr>
        <w:t>.</w:t>
      </w:r>
      <w:r>
        <w:rPr>
          <w:rFonts w:ascii="Times New Roman" w:hAnsi="Times New Roman"/>
          <w:i/>
          <w:iCs/>
        </w:rPr>
        <w:t>А</w:t>
      </w:r>
      <w:r>
        <w:rPr>
          <w:rFonts w:ascii="Times New Roman" w:hAnsi="Times New Roman"/>
          <w:i/>
          <w:iCs/>
        </w:rPr>
        <w:t>.</w:t>
      </w:r>
      <w:r>
        <w:rPr>
          <w:rFonts w:ascii="Times New Roman" w:hAnsi="Times New Roman"/>
          <w:i/>
          <w:iCs/>
          <w:vertAlign w:val="superscript"/>
        </w:rPr>
        <w:t>1,2,4</w:t>
      </w:r>
      <w:r>
        <w:rPr>
          <w:rFonts w:ascii="Times New Roman" w:hAnsi="Times New Roman"/>
          <w:i/>
          <w:iCs/>
        </w:rPr>
        <w:t xml:space="preserve">, </w:t>
      </w:r>
      <w:r>
        <w:rPr>
          <w:rFonts w:ascii="Times New Roman" w:hAnsi="Times New Roman"/>
          <w:i/>
          <w:iCs/>
        </w:rPr>
        <w:t>Сеничев Ю</w:t>
      </w:r>
      <w:r>
        <w:rPr>
          <w:rFonts w:ascii="Times New Roman" w:hAnsi="Times New Roman"/>
          <w:i/>
          <w:iCs/>
        </w:rPr>
        <w:t>.</w:t>
      </w:r>
      <w:r>
        <w:rPr>
          <w:rFonts w:ascii="Times New Roman" w:hAnsi="Times New Roman"/>
          <w:i/>
          <w:iCs/>
        </w:rPr>
        <w:t>В</w:t>
      </w:r>
      <w:r>
        <w:rPr>
          <w:rFonts w:ascii="Times New Roman" w:hAnsi="Times New Roman"/>
          <w:i/>
          <w:iCs/>
        </w:rPr>
        <w:t>.</w:t>
      </w:r>
      <w:r>
        <w:rPr>
          <w:rFonts w:ascii="Times New Roman" w:hAnsi="Times New Roman"/>
          <w:i/>
          <w:iCs/>
          <w:vertAlign w:val="superscript"/>
        </w:rPr>
        <w:t>1,2</w:t>
      </w:r>
    </w:p>
    <w:p w14:paraId="772C75B2" w14:textId="77777777" w:rsidR="001E785F" w:rsidRDefault="003914C0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1</w:t>
      </w:r>
      <w:r>
        <w:rPr>
          <w:i/>
          <w:iCs/>
        </w:rPr>
        <w:t>Институт Ядерных Исследований РАН, Москва, Россия,</w:t>
      </w:r>
    </w:p>
    <w:p w14:paraId="7FAC2D1D" w14:textId="77777777" w:rsidR="001E785F" w:rsidRDefault="003914C0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2</w:t>
      </w:r>
      <w:r>
        <w:rPr>
          <w:i/>
          <w:iCs/>
        </w:rPr>
        <w:t xml:space="preserve">Московский Физико-Технический </w:t>
      </w:r>
      <w:r>
        <w:rPr>
          <w:i/>
          <w:iCs/>
        </w:rPr>
        <w:t>Институт, Долгопрудный, Россия,</w:t>
      </w:r>
    </w:p>
    <w:p w14:paraId="0B4BB0B1" w14:textId="77777777" w:rsidR="001E785F" w:rsidRDefault="003914C0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3</w:t>
      </w:r>
      <w:r>
        <w:rPr>
          <w:i/>
          <w:iCs/>
        </w:rPr>
        <w:t>Московский инженерно-физический институт, Москва, Россия,</w:t>
      </w:r>
    </w:p>
    <w:p w14:paraId="71C63337" w14:textId="77777777" w:rsidR="001E785F" w:rsidRDefault="003914C0">
      <w:pPr>
        <w:pStyle w:val="Default"/>
        <w:spacing w:line="360" w:lineRule="auto"/>
        <w:jc w:val="center"/>
        <w:rPr>
          <w:i/>
          <w:iCs/>
        </w:rPr>
      </w:pPr>
      <w:r>
        <w:rPr>
          <w:i/>
          <w:iCs/>
          <w:vertAlign w:val="superscript"/>
        </w:rPr>
        <w:t>4</w:t>
      </w:r>
      <w:r>
        <w:rPr>
          <w:i/>
          <w:iCs/>
        </w:rPr>
        <w:t>Институт теоретической физики им. Л.Д. Ландау, Черноголовка, Россия</w:t>
      </w:r>
    </w:p>
    <w:p w14:paraId="5BA7B8AB" w14:textId="77777777" w:rsidR="001E785F" w:rsidRDefault="001E785F">
      <w:pPr>
        <w:pStyle w:val="Default"/>
        <w:spacing w:line="360" w:lineRule="auto"/>
        <w:jc w:val="center"/>
        <w:rPr>
          <w:i/>
          <w:iCs/>
        </w:rPr>
      </w:pPr>
    </w:p>
    <w:p w14:paraId="4C646358" w14:textId="77777777" w:rsidR="001E785F" w:rsidRDefault="003914C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Аннотация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В данной работе показан принципиальный подход при проектировании структуры кольца в форме </w:t>
      </w:r>
      <w:r>
        <w:rPr>
          <w:rFonts w:ascii="Times New Roman" w:hAnsi="Times New Roman"/>
          <w:sz w:val="24"/>
          <w:szCs w:val="24"/>
        </w:rPr>
        <w:t xml:space="preserve">8 </w:t>
      </w:r>
      <w:r>
        <w:rPr>
          <w:rFonts w:ascii="Times New Roman" w:hAnsi="Times New Roman"/>
          <w:sz w:val="24"/>
          <w:szCs w:val="24"/>
        </w:rPr>
        <w:t>для выполнения нескольких физических программ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Во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первых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уникальная форма кольца позволяет решить проблему с пересечением спиновых резонансов при ускорении поляриз</w:t>
      </w:r>
      <w:r>
        <w:rPr>
          <w:rFonts w:ascii="Times New Roman" w:hAnsi="Times New Roman"/>
          <w:sz w:val="24"/>
          <w:szCs w:val="24"/>
        </w:rPr>
        <w:t>ованного пучка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Во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вторых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данная структура может быть использована для экспериментов по измерению ЭДМ и поиску аксиона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третьих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структура может быть адаптирована для ускорения тяжелоионного пучка</w:t>
      </w:r>
      <w:r>
        <w:rPr>
          <w:rFonts w:ascii="Times New Roman" w:hAnsi="Times New Roman"/>
          <w:sz w:val="24"/>
          <w:szCs w:val="24"/>
        </w:rPr>
        <w:t>.</w:t>
      </w:r>
    </w:p>
    <w:p w14:paraId="4243FE09" w14:textId="77777777" w:rsidR="001E785F" w:rsidRDefault="003914C0">
      <w:pPr>
        <w:pStyle w:val="1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Введение</w:t>
      </w:r>
    </w:p>
    <w:p w14:paraId="45757BA8" w14:textId="77777777" w:rsidR="001E785F" w:rsidRDefault="003914C0">
      <w:pPr>
        <w:pStyle w:val="Default"/>
        <w:spacing w:line="360" w:lineRule="auto"/>
        <w:ind w:firstLine="708"/>
        <w:jc w:val="both"/>
      </w:pPr>
      <w:bookmarkStart w:id="0" w:name="_Hlk207623480"/>
      <w:r>
        <w:rPr>
          <w:b/>
          <w:bCs/>
        </w:rPr>
        <w:t>Кольцо в форме 8 представляет интерес в отноше</w:t>
      </w:r>
      <w:r>
        <w:rPr>
          <w:b/>
          <w:bCs/>
        </w:rPr>
        <w:t>нии нескольких отраслей ускорительной физики. Во-первых, в контексте коллайдерных экспериментов с поляризованными пучками</w:t>
      </w:r>
      <w:r>
        <w:t xml:space="preserve"> возникает проблема пересечения различного рода спиновых резонансов, приводящих к деполяризации пучка. Кольцо в форме 8 устраняет эту п</w:t>
      </w:r>
      <w:r>
        <w:t xml:space="preserve">роблему путём взаимной компенсации </w:t>
      </w:r>
      <w:proofErr w:type="gramStart"/>
      <w:r>
        <w:t>арками прецессии спина</w:t>
      </w:r>
      <w:proofErr w:type="gramEnd"/>
      <w:r>
        <w:t xml:space="preserve"> обязанной Магнитному Дипольному Моменту (МДМ). Вследствие компенсации частота вращения спина (</w:t>
      </w:r>
      <w:r>
        <w:rPr>
          <w:lang w:val="en-US"/>
        </w:rPr>
        <w:t>spin</w:t>
      </w:r>
      <w:r>
        <w:t xml:space="preserve"> </w:t>
      </w:r>
      <w:r>
        <w:rPr>
          <w:lang w:val="en-US"/>
        </w:rPr>
        <w:t>tune</w:t>
      </w:r>
      <w:r>
        <w:t>) оказывается равна нулю и кольцо становится спин-прозрачным (</w:t>
      </w:r>
      <w:r>
        <w:rPr>
          <w:lang w:val="en-US"/>
        </w:rPr>
        <w:t>Spin</w:t>
      </w:r>
      <w:r>
        <w:t xml:space="preserve"> </w:t>
      </w:r>
      <w:r>
        <w:rPr>
          <w:lang w:val="en-US"/>
        </w:rPr>
        <w:t>Transparence</w:t>
      </w:r>
      <w:r>
        <w:t xml:space="preserve"> – </w:t>
      </w:r>
      <w:r>
        <w:rPr>
          <w:lang w:val="en-US"/>
        </w:rPr>
        <w:t>ST</w:t>
      </w:r>
      <w:r>
        <w:t xml:space="preserve">) [1], </w:t>
      </w:r>
      <w:r>
        <w:rPr>
          <w:b/>
          <w:bCs/>
        </w:rPr>
        <w:t>то е</w:t>
      </w:r>
      <w:r>
        <w:rPr>
          <w:b/>
          <w:bCs/>
        </w:rPr>
        <w:t>сть исключающим резонансы</w:t>
      </w:r>
      <w:r>
        <w:t>.</w:t>
      </w:r>
    </w:p>
    <w:p w14:paraId="4715B472" w14:textId="77777777" w:rsidR="001E785F" w:rsidRDefault="003914C0">
      <w:pPr>
        <w:pStyle w:val="Default"/>
        <w:spacing w:line="360" w:lineRule="auto"/>
        <w:ind w:firstLine="708"/>
        <w:jc w:val="both"/>
      </w:pPr>
      <w:r>
        <w:rPr>
          <w:b/>
          <w:bCs/>
        </w:rPr>
        <w:t>Применительно к коллайдерной моде рассмотрен случай поляризованного протонного пучка. Здесь</w:t>
      </w:r>
      <w:r>
        <w:t xml:space="preserve"> возникает задача по преодолению критической энергии. Для решения этой проблемы используется резонансная структура с вариацией дисперсионн</w:t>
      </w:r>
      <w:r>
        <w:t xml:space="preserve">ой функции [2]. </w:t>
      </w:r>
      <w:r>
        <w:rPr>
          <w:b/>
          <w:bCs/>
        </w:rPr>
        <w:t>При её использовании</w:t>
      </w:r>
      <w:r>
        <w:t xml:space="preserve"> критическая энергия поднимается выше энергии эксперимента, </w:t>
      </w:r>
      <w:r>
        <w:rPr>
          <w:b/>
          <w:bCs/>
        </w:rPr>
        <w:t>а может и вовсе принимать</w:t>
      </w:r>
      <w:r>
        <w:t xml:space="preserve"> комплексные значения. </w:t>
      </w:r>
      <w:r>
        <w:rPr>
          <w:b/>
          <w:bCs/>
        </w:rPr>
        <w:t>Предложена схема вариации дисперсионной функции в восьмиобразном кольце.</w:t>
      </w:r>
    </w:p>
    <w:p w14:paraId="26B86025" w14:textId="77777777" w:rsidR="001E785F" w:rsidRDefault="003914C0">
      <w:pPr>
        <w:pStyle w:val="Default"/>
        <w:spacing w:line="360" w:lineRule="auto"/>
        <w:ind w:firstLine="708"/>
        <w:jc w:val="both"/>
      </w:pPr>
      <w:r>
        <w:rPr>
          <w:b/>
          <w:bCs/>
        </w:rPr>
        <w:t>Вторая отрасль возможного применения во</w:t>
      </w:r>
      <w:r>
        <w:rPr>
          <w:b/>
          <w:bCs/>
        </w:rPr>
        <w:t>сьмиобразной структуры — измерение</w:t>
      </w:r>
      <w:r>
        <w:t xml:space="preserve"> Электрического Дипольного Момента (ЭДМ) </w:t>
      </w:r>
      <w:r>
        <w:rPr>
          <w:b/>
          <w:bCs/>
        </w:rPr>
        <w:t xml:space="preserve">и поиск </w:t>
      </w:r>
      <w:proofErr w:type="spellStart"/>
      <w:r>
        <w:rPr>
          <w:b/>
          <w:bCs/>
        </w:rPr>
        <w:t>аксионов</w:t>
      </w:r>
      <w:proofErr w:type="spellEnd"/>
      <w:r>
        <w:t>.</w:t>
      </w:r>
      <w:r>
        <w:t xml:space="preserve"> Восьмиобразное кольцо обещает преимущества при использовании как широкополосной </w:t>
      </w:r>
      <w:proofErr w:type="spellStart"/>
      <w:r>
        <w:t>аксионной</w:t>
      </w:r>
      <w:proofErr w:type="spellEnd"/>
      <w:r>
        <w:t xml:space="preserve"> антенны в области низких частот </w:t>
      </w:r>
      <w:r>
        <w:rPr>
          <w:lang w:val="en-US"/>
        </w:rPr>
        <w:t>g</w:t>
      </w:r>
      <w:r w:rsidRPr="002B7D9D">
        <w:t>-2</w:t>
      </w:r>
      <w:r>
        <w:t xml:space="preserve"> прецессии [4]; однако в отношении ЭДМ</w:t>
      </w:r>
      <w:r>
        <w:t>-</w:t>
      </w:r>
      <w:r>
        <w:lastRenderedPageBreak/>
        <w:t xml:space="preserve">измерений имеются трудности: чистая восьмёрка не накапливает ЭДМ-сигнал. Эта проблема решается путём установки в её прямых секциях попарно соленоидов и фильтров Вина. Тогда ЭДМ дейтрона можно измерить при низких энергиях методом квази-замороженного спина </w:t>
      </w:r>
      <w:r>
        <w:t xml:space="preserve">(QFS) [3]. </w:t>
      </w:r>
    </w:p>
    <w:bookmarkEnd w:id="0"/>
    <w:p w14:paraId="0A4D200B" w14:textId="77777777" w:rsidR="001E785F" w:rsidRDefault="003914C0">
      <w:pPr>
        <w:pStyle w:val="Default"/>
        <w:spacing w:line="360" w:lineRule="auto"/>
        <w:ind w:firstLine="708"/>
        <w:jc w:val="both"/>
      </w:pPr>
      <w:r>
        <w:t xml:space="preserve">Поскольку установленные </w:t>
      </w:r>
      <w:proofErr w:type="spellStart"/>
      <w:r>
        <w:t>секступоли</w:t>
      </w:r>
      <w:proofErr w:type="spellEnd"/>
      <w:r>
        <w:t xml:space="preserve"> превращают кольцо формы 8 в аналог </w:t>
      </w:r>
      <w:proofErr w:type="spellStart"/>
      <w:r>
        <w:t>рейстрека</w:t>
      </w:r>
      <w:proofErr w:type="spellEnd"/>
      <w:r>
        <w:t xml:space="preserve"> по спин-динамике, требуется решение обыденной для таких колец проблемы спиновой декогеренции. Предложена конструкция арок, включающая 3 независимых семейства сексту</w:t>
      </w:r>
      <w:r>
        <w:t>полей для подавления декогеренции поляризованного пучка.</w:t>
      </w:r>
    </w:p>
    <w:p w14:paraId="4BD30D1A" w14:textId="77777777" w:rsidR="001E785F" w:rsidRDefault="003914C0">
      <w:pPr>
        <w:pStyle w:val="Default"/>
        <w:spacing w:line="360" w:lineRule="auto"/>
        <w:ind w:firstLine="708"/>
        <w:jc w:val="both"/>
      </w:pPr>
      <w:r>
        <w:rPr>
          <w:b/>
          <w:bCs/>
        </w:rPr>
        <w:t xml:space="preserve">Третье применение структуры — работа с </w:t>
      </w:r>
      <w:proofErr w:type="spellStart"/>
      <w:r>
        <w:rPr>
          <w:b/>
          <w:bCs/>
        </w:rPr>
        <w:t>тяжелоионными</w:t>
      </w:r>
      <w:proofErr w:type="spellEnd"/>
      <w:r>
        <w:rPr>
          <w:b/>
          <w:bCs/>
        </w:rPr>
        <w:t xml:space="preserve"> пучками</w:t>
      </w:r>
      <w:r>
        <w:t xml:space="preserve">. При этом ключевым требованием является достижение высокого времени жизни пучка. Для этого влияние внутрипучкового рассеяния (ВПР) должно </w:t>
      </w:r>
      <w:r>
        <w:t xml:space="preserve">быть скомпенсировано электронным и стохастическим охлаждением, что может быть эффективно получено в </w:t>
      </w:r>
      <w:proofErr w:type="gramStart"/>
      <w:r>
        <w:t xml:space="preserve">структуре  </w:t>
      </w:r>
      <w:r>
        <w:rPr>
          <w:b/>
          <w:bCs/>
        </w:rPr>
        <w:t>минимальной</w:t>
      </w:r>
      <w:proofErr w:type="gramEnd"/>
      <w:r>
        <w:rPr>
          <w:b/>
          <w:bCs/>
        </w:rPr>
        <w:t xml:space="preserve"> модуляцией </w:t>
      </w:r>
      <w:proofErr w:type="spellStart"/>
      <w:r>
        <w:rPr>
          <w:b/>
          <w:bCs/>
        </w:rPr>
        <w:t>Твисс</w:t>
      </w:r>
      <w:proofErr w:type="spellEnd"/>
      <w:r>
        <w:rPr>
          <w:b/>
          <w:bCs/>
        </w:rPr>
        <w:t>-функций</w:t>
      </w:r>
      <w:r>
        <w:t>.</w:t>
      </w:r>
    </w:p>
    <w:p w14:paraId="7AAA86BE" w14:textId="77777777" w:rsidR="001E785F" w:rsidRDefault="003914C0">
      <w:pPr>
        <w:pStyle w:val="1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Протонная опция</w:t>
      </w:r>
    </w:p>
    <w:p w14:paraId="7B00213A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Согласно уравнению Т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БМТ </w:t>
      </w:r>
      <w:r>
        <w:rPr>
          <w:rFonts w:ascii="Times New Roman" w:hAnsi="Times New Roman"/>
        </w:rPr>
        <w:t xml:space="preserve">[5], </w:t>
      </w:r>
      <w:r>
        <w:rPr>
          <w:rFonts w:ascii="Times New Roman" w:hAnsi="Times New Roman"/>
        </w:rPr>
        <w:t xml:space="preserve">поляризация пучка совершает прецессию в поперечном магнитном поле относительно направления импульса с относительно частотой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спин</w:t>
      </w:r>
      <w:r>
        <w:rPr>
          <w:rFonts w:ascii="Times New Roman" w:hAnsi="Times New Roman"/>
        </w:rPr>
        <w:t>-</w:t>
      </w:r>
      <w:proofErr w:type="spellStart"/>
      <w:r>
        <w:rPr>
          <w:rFonts w:ascii="Times New Roman" w:hAnsi="Times New Roman"/>
        </w:rPr>
        <w:t>тюн</w:t>
      </w:r>
      <w:proofErr w:type="spellEnd"/>
      <w:r>
        <w:rPr>
          <w:rFonts w:ascii="Times New Roman" w:hAnsi="Times New Roman"/>
        </w:rPr>
        <w:t xml:space="preserve">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s</m:t>
            </m:r>
          </m:sub>
        </m:sSub>
        <m:r>
          <w:rPr>
            <w:rFonts w:ascii="Cambria Math" w:hAnsi="Cambria Math"/>
            <w:sz w:val="26"/>
            <w:szCs w:val="26"/>
          </w:rPr>
          <m:t>=γ</m:t>
        </m:r>
        <m:r>
          <w:rPr>
            <w:rFonts w:ascii="Cambria Math" w:hAnsi="Cambria Math"/>
            <w:sz w:val="26"/>
            <w:szCs w:val="26"/>
          </w:rPr>
          <m:t>G</m:t>
        </m:r>
      </m:oMath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где </w:t>
      </w:r>
      <m:oMath>
        <m:r>
          <w:rPr>
            <w:rFonts w:ascii="Cambria Math" w:hAnsi="Cambria Math"/>
            <w:sz w:val="29"/>
            <w:szCs w:val="29"/>
          </w:rPr>
          <m:t>γ</m:t>
        </m:r>
      </m:oMath>
      <w:r>
        <w:rPr>
          <w:rFonts w:ascii="Times New Roman" w:hAnsi="Times New Roman"/>
        </w:rPr>
        <w:t xml:space="preserve"> – Лоренц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фактор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>
        <w:rPr>
          <w:rFonts w:ascii="Times New Roman" w:hAnsi="Times New Roman"/>
        </w:rPr>
        <w:t xml:space="preserve"> – аномальный магнитный момент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Поскольку в кольце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>ведущее вертикальное магни</w:t>
      </w:r>
      <w:r>
        <w:rPr>
          <w:rFonts w:ascii="Times New Roman" w:hAnsi="Times New Roman"/>
        </w:rPr>
        <w:t>тное поле имеет различное направление в двух поворотных арках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то для частиц любой энергии спиновая прецессия в одной арке полностью компенсируется другой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Таким образом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частота прецессии спина равна нулю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а само кольцо обладает свойством спиновой прозрач</w:t>
      </w:r>
      <w:r>
        <w:rPr>
          <w:rFonts w:ascii="Times New Roman" w:hAnsi="Times New Roman"/>
        </w:rPr>
        <w:t>ности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Учитывая эту особенность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отсутствует необходимость пересечения спиновых резонансов при ускорении протонного поляризованного пучка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что является ключевым преимуществом для сохранения поляризации конечного эксперимента</w:t>
      </w:r>
      <w:r>
        <w:rPr>
          <w:rFonts w:ascii="Times New Roman" w:hAnsi="Times New Roman"/>
        </w:rPr>
        <w:t xml:space="preserve">. </w:t>
      </w:r>
    </w:p>
    <w:p w14:paraId="4F07B82A" w14:textId="77777777" w:rsidR="001E785F" w:rsidRDefault="003914C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При ускорении протонного пучк</w:t>
      </w:r>
      <w:r>
        <w:rPr>
          <w:rFonts w:ascii="Times New Roman" w:hAnsi="Times New Roman"/>
        </w:rPr>
        <w:t>а также должна быть решена проблема прохождения критической энергии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которая проводит к нарушению фазовой стабильности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В общем случае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понятие критической энергии связано с коэффициентом уплотнения орбиты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momentum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compaction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factor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</w:rPr>
        <w:t>пропорционально интегралу по длине кольца</w:t>
      </w:r>
    </w:p>
    <w:p w14:paraId="7630F41A" w14:textId="77777777" w:rsidR="001E785F" w:rsidRDefault="003914C0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α</m:t>
          </m:r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tr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sup>
            <m:e/>
          </m:nary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ρ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ds</m:t>
          </m:r>
          <m:r>
            <w:rPr>
              <w:rFonts w:ascii="Cambria Math" w:hAnsi="Cambria Math"/>
              <w:sz w:val="26"/>
              <w:szCs w:val="26"/>
            </w:rPr>
            <m:t>,(1)</m:t>
          </m:r>
        </m:oMath>
      </m:oMathPara>
    </w:p>
    <w:p w14:paraId="4F118946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ascii="Times New Roman" w:hAnsi="Times New Roman"/>
        </w:rPr>
        <w:t xml:space="preserve"> – длина ускорителя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D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</m:d>
      </m:oMath>
      <w:r>
        <w:rPr>
          <w:rFonts w:ascii="Times New Roman" w:hAnsi="Times New Roman"/>
        </w:rPr>
        <w:t xml:space="preserve"> – горизонтальная дисперсия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ρ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</m:d>
      </m:oMath>
      <w:r>
        <w:rPr>
          <w:rFonts w:ascii="Times New Roman" w:hAnsi="Times New Roman"/>
        </w:rPr>
        <w:t xml:space="preserve"> – кривизна орбиты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9"/>
            <w:szCs w:val="29"/>
          </w:rPr>
          <m:t>s</m:t>
        </m:r>
      </m:oMath>
      <w:r>
        <w:rPr>
          <w:rFonts w:ascii="Times New Roman" w:hAnsi="Times New Roman"/>
        </w:rPr>
        <w:t xml:space="preserve"> – продольная координата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Стоить отметить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что для кольца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>разнонаправленность ведуще</w:t>
      </w:r>
      <w:r>
        <w:rPr>
          <w:rFonts w:ascii="Times New Roman" w:hAnsi="Times New Roman"/>
        </w:rPr>
        <w:t>го поля математически выражается в виде смены знака как для кривизны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так и дисперсии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При этом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их отношение сохраняет знак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а значит поведение коэффициента уплотнения орбиты такое же как в классическом кольце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Поднятие критической энергии возможно при ва</w:t>
      </w:r>
      <w:r>
        <w:rPr>
          <w:rFonts w:ascii="Times New Roman" w:hAnsi="Times New Roman"/>
        </w:rPr>
        <w:t xml:space="preserve">риации дисперсии и </w:t>
      </w:r>
      <w:r>
        <w:rPr>
          <w:rFonts w:ascii="Times New Roman" w:hAnsi="Times New Roman"/>
        </w:rPr>
        <w:lastRenderedPageBreak/>
        <w:t>кривизны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Коэффициент уплотнения орбиты для суперпериода при суперпериодической модуляции градиента квадрупольных линз в первом порядке даётся уравнением </w:t>
      </w:r>
      <w:r>
        <w:rPr>
          <w:rFonts w:ascii="Times New Roman" w:hAnsi="Times New Roman"/>
        </w:rPr>
        <w:t>[6]</w:t>
      </w:r>
    </w:p>
    <w:p w14:paraId="6ECC17C5" w14:textId="77777777" w:rsidR="001E785F" w:rsidRDefault="003914C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α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1-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S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x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limUpp>
                            <m:limUp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limUpp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R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¯</m:t>
                              </m:r>
                            </m:lim>
                          </m:limUp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p>
              </m:sSup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1-(1-</m:t>
                              </m:r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S</m:t>
                              </m:r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x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>,(2)</m:t>
          </m:r>
        </m:oMath>
      </m:oMathPara>
    </w:p>
    <w:p w14:paraId="26B8DC80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70E862A" wp14:editId="133DE2AF">
                <wp:simplePos x="0" y="0"/>
                <wp:positionH relativeFrom="column">
                  <wp:posOffset>-57785</wp:posOffset>
                </wp:positionH>
                <wp:positionV relativeFrom="line">
                  <wp:posOffset>3677919</wp:posOffset>
                </wp:positionV>
                <wp:extent cx="5943600" cy="127000"/>
                <wp:effectExtent l="0" t="0" r="0" b="0"/>
                <wp:wrapTopAndBottom distT="0" distB="0"/>
                <wp:docPr id="1073741825" name="officeArt object" descr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CBB82FB" w14:textId="77777777" w:rsidR="001E785F" w:rsidRDefault="003914C0">
                            <w:pPr>
                              <w:pStyle w:val="a4"/>
                            </w:pPr>
                            <w:r>
                              <w:t xml:space="preserve">Рис. 2 </w:t>
                            </w:r>
                            <w:r>
                              <w:t>Принципиальная схема поворотной арки, состоящей из 12 ячеек, сформированных в 4 суперпериода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4.6pt;margin-top:289.6pt;width:468.0pt;height:10.0pt;z-index:25166540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ru-RU"/>
                        </w:rPr>
                        <w:t>Рис</w:t>
                      </w:r>
                      <w:r>
                        <w:rPr>
                          <w:rtl w:val="0"/>
                          <w:lang w:val="ru-RU"/>
                        </w:rPr>
                        <w:t xml:space="preserve">. 2 </w:t>
                      </w:r>
                      <w:r>
                        <w:rPr>
                          <w:rtl w:val="0"/>
                          <w:lang w:val="ru-RU"/>
                        </w:rPr>
                        <w:t>Принципиальная схема поворотной арки</w:t>
                      </w:r>
                      <w:r>
                        <w:rPr>
                          <w:rtl w:val="0"/>
                          <w:lang w:val="ru-RU"/>
                        </w:rPr>
                        <w:t xml:space="preserve">, </w:t>
                      </w:r>
                      <w:r>
                        <w:rPr>
                          <w:rtl w:val="0"/>
                          <w:lang w:val="ru-RU"/>
                        </w:rPr>
                        <w:t xml:space="preserve">состоящей из </w:t>
                      </w:r>
                      <w:r>
                        <w:rPr>
                          <w:rtl w:val="0"/>
                          <w:lang w:val="ru-RU"/>
                        </w:rPr>
                        <w:t xml:space="preserve">12 </w:t>
                      </w:r>
                      <w:r>
                        <w:rPr>
                          <w:rtl w:val="0"/>
                          <w:lang w:val="ru-RU"/>
                        </w:rPr>
                        <w:t>ячеек</w:t>
                      </w:r>
                      <w:r>
                        <w:rPr>
                          <w:rtl w:val="0"/>
                          <w:lang w:val="ru-RU"/>
                        </w:rPr>
                        <w:t xml:space="preserve">, </w:t>
                      </w:r>
                      <w:r>
                        <w:rPr>
                          <w:rtl w:val="0"/>
                          <w:lang w:val="ru-RU"/>
                        </w:rPr>
                        <w:t xml:space="preserve">сформированных в </w:t>
                      </w:r>
                      <w:r>
                        <w:rPr>
                          <w:rtl w:val="0"/>
                          <w:lang w:val="ru-RU"/>
                        </w:rPr>
                        <w:t xml:space="preserve">4 </w:t>
                      </w:r>
                      <w:r>
                        <w:rPr>
                          <w:rtl w:val="0"/>
                          <w:lang w:val="ru-RU"/>
                        </w:rPr>
                        <w:t>суперпериода</w:t>
                      </w:r>
                    </w:p>
                  </w:txbxContent>
                </v:textbox>
                <w10:wrap type="topAndBottom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1312" behindDoc="0" locked="0" layoutInCell="1" allowOverlap="1" wp14:anchorId="482E1CDB" wp14:editId="2C15C9C3">
            <wp:simplePos x="0" y="0"/>
            <wp:positionH relativeFrom="column">
              <wp:posOffset>-59055</wp:posOffset>
            </wp:positionH>
            <wp:positionV relativeFrom="line">
              <wp:posOffset>1261110</wp:posOffset>
            </wp:positionV>
            <wp:extent cx="3408046" cy="106172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4" descr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8046" cy="10617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0288" behindDoc="0" locked="0" layoutInCell="1" allowOverlap="1" wp14:anchorId="5AEA0D43" wp14:editId="600BB1DC">
            <wp:simplePos x="0" y="0"/>
            <wp:positionH relativeFrom="column">
              <wp:posOffset>3406140</wp:posOffset>
            </wp:positionH>
            <wp:positionV relativeFrom="line">
              <wp:posOffset>1260475</wp:posOffset>
            </wp:positionV>
            <wp:extent cx="2477136" cy="106172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" descr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7136" cy="10617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57150" distB="57150" distL="57150" distR="57150" simplePos="0" relativeHeight="251659264" behindDoc="0" locked="0" layoutInCell="1" allowOverlap="1" wp14:anchorId="3BB31BB0" wp14:editId="613A15D0">
                <wp:simplePos x="0" y="0"/>
                <wp:positionH relativeFrom="column">
                  <wp:posOffset>-58419</wp:posOffset>
                </wp:positionH>
                <wp:positionV relativeFrom="line">
                  <wp:posOffset>2383789</wp:posOffset>
                </wp:positionV>
                <wp:extent cx="5943600" cy="127000"/>
                <wp:effectExtent l="0" t="0" r="0" b="0"/>
                <wp:wrapThrough wrapText="bothSides" distL="57150" distR="5715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5BBCACE" w14:textId="77777777" w:rsidR="001E785F" w:rsidRDefault="003914C0">
                            <w:pPr>
                              <w:pStyle w:val="a4"/>
                            </w:pPr>
                            <w:r>
                              <w:t>Рис. 1. Принципиальная схема кольца в форме 8 для различных углов отклонения.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4.6pt;margin-top:187.7pt;width:468.0pt;height:10.0pt;z-index:251659264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ru-RU"/>
                        </w:rPr>
                        <w:t>Рис</w:t>
                      </w:r>
                      <w:r>
                        <w:rPr>
                          <w:rtl w:val="0"/>
                          <w:lang w:val="ru-RU"/>
                        </w:rPr>
                        <w:t xml:space="preserve">. 1. </w:t>
                      </w:r>
                      <w:r>
                        <w:rPr>
                          <w:rtl w:val="0"/>
                          <w:lang w:val="ru-RU"/>
                        </w:rPr>
                        <w:t xml:space="preserve">Принципиальная схема кольца в форме </w:t>
                      </w:r>
                      <w:r>
                        <w:rPr>
                          <w:rtl w:val="0"/>
                          <w:lang w:val="ru-RU"/>
                        </w:rPr>
                        <w:t xml:space="preserve">8 </w:t>
                      </w:r>
                      <w:r>
                        <w:rPr>
                          <w:rtl w:val="0"/>
                          <w:lang w:val="ru-RU"/>
                        </w:rPr>
                        <w:t>для различных углов отклонения</w:t>
                      </w:r>
                      <w:r>
                        <w:rPr>
                          <w:rtl w:val="0"/>
                          <w:lang w:val="ru-RU"/>
                        </w:rPr>
                        <w:t>.</w:t>
                      </w:r>
                    </w:p>
                  </w:txbxContent>
                </v:textbox>
                <w10:wrap type="through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63360" behindDoc="0" locked="0" layoutInCell="1" allowOverlap="1" wp14:anchorId="0C63B577" wp14:editId="68355518">
            <wp:simplePos x="0" y="0"/>
            <wp:positionH relativeFrom="column">
              <wp:posOffset>512445</wp:posOffset>
            </wp:positionH>
            <wp:positionV relativeFrom="line">
              <wp:posOffset>2705735</wp:posOffset>
            </wp:positionV>
            <wp:extent cx="4912995" cy="918210"/>
            <wp:effectExtent l="0" t="0" r="0" b="0"/>
            <wp:wrapTopAndBottom distT="0" distB="0"/>
            <wp:docPr id="1073741829" name="officeArt object" descr="Рисунок 951887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951887911" descr="Рисунок 9518879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918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</w:rPr>
              <m:t>ν</m:t>
            </m:r>
          </m:e>
          <m:sub>
            <m:r>
              <w:rPr>
                <w:rFonts w:ascii="Cambria Math" w:hAnsi="Cambria Math"/>
                <w:sz w:val="27"/>
                <w:szCs w:val="27"/>
              </w:rPr>
              <m:t>x</m:t>
            </m:r>
          </m:sub>
        </m:sSub>
      </m:oMath>
      <w:r>
        <w:rPr>
          <w:rFonts w:ascii="Times New Roman" w:hAnsi="Times New Roman"/>
        </w:rPr>
        <w:t xml:space="preserve"> – частота горизонтальных колебаний</w:t>
      </w:r>
      <w:r>
        <w:rPr>
          <w:rFonts w:ascii="Times New Roman" w:hAnsi="Times New Roman"/>
        </w:rPr>
        <w:t xml:space="preserve">, 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26"/>
                <w:szCs w:val="26"/>
              </w:rPr>
              <m:t>R</m:t>
            </m:r>
          </m:e>
          <m:lim>
            <m:r>
              <w:rPr>
                <w:rFonts w:ascii="Cambria Math" w:hAnsi="Cambria Math"/>
                <w:sz w:val="26"/>
                <w:szCs w:val="26"/>
              </w:rPr>
              <m:t>¯</m:t>
            </m:r>
          </m:lim>
        </m:limUpp>
      </m:oMath>
      <w:r>
        <w:rPr>
          <w:rFonts w:ascii="Times New Roman" w:hAnsi="Times New Roman"/>
        </w:rPr>
        <w:t xml:space="preserve"> – средняя кривизна орбиты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7"/>
            <w:szCs w:val="27"/>
          </w:rPr>
          <m:t>k</m:t>
        </m:r>
        <m:r>
          <w:rPr>
            <w:rFonts w:ascii="Cambria Math" w:hAnsi="Cambria Math"/>
            <w:sz w:val="27"/>
            <w:szCs w:val="27"/>
          </w:rPr>
          <m:t>=1</m:t>
        </m:r>
      </m:oMath>
      <w:r>
        <w:rPr>
          <w:rFonts w:ascii="Times New Roman" w:hAnsi="Times New Roman"/>
        </w:rPr>
        <w:t xml:space="preserve"> – порядок разложения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7"/>
            <w:szCs w:val="27"/>
          </w:rPr>
          <m:t>S</m:t>
        </m:r>
      </m:oMath>
      <w:r>
        <w:rPr>
          <w:rFonts w:ascii="Times New Roman" w:hAnsi="Times New Roman"/>
        </w:rPr>
        <w:t xml:space="preserve"> – количество суперпериодов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k</m:t>
            </m:r>
          </m:sub>
        </m:sSub>
      </m:oMath>
      <w:r>
        <w:rPr>
          <w:rFonts w:ascii="Times New Roman" w:hAnsi="Times New Roman"/>
        </w:rPr>
        <w:t xml:space="preserve"> –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>
        <w:rPr>
          <w:rFonts w:ascii="Times New Roman" w:hAnsi="Times New Roman"/>
        </w:rPr>
        <w:t>-</w:t>
      </w:r>
      <w:proofErr w:type="spellStart"/>
      <w:r>
        <w:rPr>
          <w:rFonts w:ascii="Times New Roman" w:hAnsi="Times New Roman"/>
        </w:rPr>
        <w:t>ая</w:t>
      </w:r>
      <w:proofErr w:type="spellEnd"/>
      <w:r>
        <w:rPr>
          <w:rFonts w:ascii="Times New Roman" w:hAnsi="Times New Roman"/>
        </w:rPr>
        <w:t xml:space="preserve"> гармоника Фурье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разложения модуляции градиента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Контроль коэффициента уплотнения орбиты определяется отношением </w:t>
      </w:r>
      <m:oMath>
        <m:r>
          <w:rPr>
            <w:rFonts w:ascii="Cambria Math" w:hAnsi="Cambria Math"/>
            <w:sz w:val="26"/>
            <w:szCs w:val="26"/>
          </w:rPr>
          <m:t>S</m:t>
        </m:r>
        <m:r>
          <w:rPr>
            <w:rFonts w:ascii="Cambria Math" w:hAnsi="Cambria Math"/>
            <w:sz w:val="26"/>
            <w:szCs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x</m:t>
            </m:r>
          </m:sub>
        </m:sSub>
      </m:oMath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Оптимальным является выбор </w:t>
      </w:r>
      <w:r>
        <w:rPr>
          <w:rFonts w:ascii="Times New Roman" w:hAnsi="Times New Roman"/>
        </w:rPr>
        <w:t xml:space="preserve">4 </w:t>
      </w:r>
      <w:r>
        <w:rPr>
          <w:rFonts w:ascii="Times New Roman" w:hAnsi="Times New Roman"/>
        </w:rPr>
        <w:t>суперпе</w:t>
      </w:r>
      <w:r>
        <w:rPr>
          <w:rFonts w:ascii="Times New Roman" w:hAnsi="Times New Roman"/>
        </w:rPr>
        <w:t xml:space="preserve">риодов и набега частоты равного </w:t>
      </w: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Тогда реализуются условия ахромата как первого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так и второго порядка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Подавление дисперсии осуществляется в силу выбора целого числа колебаний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Нелинейные эффекты первого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второго суперпериода подавляются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третьим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четверты</w:t>
      </w:r>
      <w:r>
        <w:rPr>
          <w:rFonts w:ascii="Times New Roman" w:hAnsi="Times New Roman"/>
        </w:rPr>
        <w:t xml:space="preserve">м в силу набега фазы 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>
        <w:rPr>
          <w:rFonts w:ascii="Times New Roman" w:hAnsi="Times New Roman"/>
        </w:rPr>
        <w:t>.</w:t>
      </w:r>
    </w:p>
    <w:p w14:paraId="1CEFDEC3" w14:textId="77777777" w:rsidR="001E785F" w:rsidRDefault="003914C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57150" distB="57150" distL="57150" distR="57150" simplePos="0" relativeHeight="251666432" behindDoc="0" locked="0" layoutInCell="1" allowOverlap="1" wp14:anchorId="610E62C4" wp14:editId="7FEFEC5D">
                <wp:simplePos x="0" y="0"/>
                <wp:positionH relativeFrom="column">
                  <wp:posOffset>-59055</wp:posOffset>
                </wp:positionH>
                <wp:positionV relativeFrom="line">
                  <wp:posOffset>7359649</wp:posOffset>
                </wp:positionV>
                <wp:extent cx="2794000" cy="127000"/>
                <wp:effectExtent l="0" t="0" r="0" b="0"/>
                <wp:wrapSquare wrapText="bothSides" distT="57150" distB="57150" distL="57150" distR="57150"/>
                <wp:docPr id="1073741830" name="officeArt object" descr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BC4F764" w14:textId="77777777" w:rsidR="001E785F" w:rsidRDefault="003914C0">
                            <w:pPr>
                              <w:pStyle w:val="a4"/>
                            </w:pPr>
                            <w:r>
                              <w:t>Рис. 3 План расстановки элементов кольца в форме 8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4.7pt;margin-top:579.5pt;width:220.0pt;height:10.0pt;z-index:251666432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ru-RU"/>
                        </w:rPr>
                        <w:t>Рис</w:t>
                      </w:r>
                      <w:r>
                        <w:rPr>
                          <w:rtl w:val="0"/>
                          <w:lang w:val="ru-RU"/>
                        </w:rPr>
                        <w:t xml:space="preserve">. 3 </w:t>
                      </w:r>
                      <w:r>
                        <w:rPr>
                          <w:rtl w:val="0"/>
                          <w:lang w:val="ru-RU"/>
                        </w:rPr>
                        <w:t xml:space="preserve">План расстановки элементов кольца в форме </w:t>
                      </w:r>
                      <w:r>
                        <w:rPr>
                          <w:rtl w:val="0"/>
                          <w:lang w:val="ru-RU"/>
                        </w:rPr>
                        <w:t>8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2336" behindDoc="0" locked="0" layoutInCell="1" allowOverlap="1" wp14:anchorId="324BB2F5" wp14:editId="1D1D2E8F">
            <wp:simplePos x="0" y="0"/>
            <wp:positionH relativeFrom="column">
              <wp:posOffset>-125730</wp:posOffset>
            </wp:positionH>
            <wp:positionV relativeFrom="line">
              <wp:posOffset>2588260</wp:posOffset>
            </wp:positionV>
            <wp:extent cx="2862580" cy="4688205"/>
            <wp:effectExtent l="0" t="0" r="0" b="0"/>
            <wp:wrapSquare wrapText="bothSides" distT="57150" distB="57150" distL="57150" distR="57150"/>
            <wp:docPr id="1073741831" name="officeArt object" descr="Рисунок 630144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630144909" descr="Рисунок 6301449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4688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Поворотные арки кольца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 xml:space="preserve">дополнительно поворачивают импульс на угол </w:t>
      </w:r>
      <m:oMath>
        <m:r>
          <w:rPr>
            <w:rFonts w:ascii="Cambria Math" w:hAnsi="Cambria Math"/>
            <w:sz w:val="29"/>
            <w:szCs w:val="29"/>
          </w:rPr>
          <m:t>α</m:t>
        </m:r>
      </m:oMath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соответствующим образом увеличивается длина поворотной арки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Длина прямых секций в зависти от угла отклонения составляет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ss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ring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r>
              <w:rPr>
                <w:rFonts w:ascii="Cambria Math" w:hAnsi="Cambria Math"/>
                <w:sz w:val="26"/>
                <w:szCs w:val="26"/>
              </w:rPr>
              <m:t>ctg</m:t>
            </m:r>
          </m:fName>
          <m:e>
            <m:r>
              <w:rPr>
                <w:rFonts w:ascii="Cambria Math" w:hAnsi="Cambria Math"/>
                <w:sz w:val="26"/>
                <w:szCs w:val="26"/>
              </w:rPr>
              <m:t>α</m:t>
            </m:r>
          </m:e>
        </m:func>
      </m:oMath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а расстояние между поворотным арками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rt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ring</m:t>
            </m:r>
          </m:sub>
        </m:sSub>
        <m:r>
          <w:rPr>
            <w:rFonts w:ascii="Cambria Math" w:hAnsi="Cambria Math"/>
            <w:sz w:val="26"/>
            <w:szCs w:val="26"/>
          </w:rPr>
          <m:t>/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r>
              <w:rPr>
                <w:rFonts w:ascii="Cambria Math" w:hAnsi="Cambria Math"/>
                <w:sz w:val="26"/>
                <w:szCs w:val="26"/>
              </w:rPr>
              <m:t>sin</m:t>
            </m:r>
          </m:fName>
          <m:e>
            <m:r>
              <w:rPr>
                <w:rFonts w:ascii="Cambria Math" w:hAnsi="Cambria Math"/>
                <w:sz w:val="26"/>
                <w:szCs w:val="26"/>
              </w:rPr>
              <m:t>α</m:t>
            </m:r>
          </m:e>
        </m:func>
      </m:oMath>
      <w:r>
        <w:rPr>
          <w:rFonts w:ascii="Times New Roman" w:hAnsi="Times New Roman"/>
        </w:rPr>
        <w:t xml:space="preserve"> как если бы это было кольцо формы </w:t>
      </w:r>
      <w:r>
        <w:rPr>
          <w:rFonts w:ascii="Times New Roman" w:hAnsi="Times New Roman"/>
          <w:lang w:val="en-US"/>
        </w:rPr>
        <w:t>racetrack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что показано наглядно на Рис</w:t>
      </w:r>
      <w:r>
        <w:rPr>
          <w:rFonts w:ascii="Times New Roman" w:hAnsi="Times New Roman"/>
        </w:rPr>
        <w:t xml:space="preserve">. 1. </w:t>
      </w:r>
      <w:r>
        <w:rPr>
          <w:rFonts w:ascii="Times New Roman" w:hAnsi="Times New Roman"/>
        </w:rPr>
        <w:t>Для удобства рассмотрения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в данной работе при</w:t>
      </w:r>
      <w:r>
        <w:rPr>
          <w:rFonts w:ascii="Times New Roman" w:hAnsi="Times New Roman"/>
        </w:rPr>
        <w:t xml:space="preserve">нят угол равным </w:t>
      </w:r>
      <w:r>
        <w:rPr>
          <w:rFonts w:ascii="Times New Roman" w:hAnsi="Times New Roman"/>
        </w:rPr>
        <w:t xml:space="preserve">45 </w:t>
      </w:r>
      <w:r>
        <w:rPr>
          <w:rFonts w:ascii="Times New Roman" w:hAnsi="Times New Roman"/>
        </w:rPr>
        <w:t>градусам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План расстановки элементарных ФОДО ячеек в структуре представлен на Рис</w:t>
      </w:r>
      <w:r>
        <w:rPr>
          <w:rFonts w:ascii="Times New Roman" w:hAnsi="Times New Roman"/>
        </w:rPr>
        <w:t xml:space="preserve">. 2, </w:t>
      </w:r>
      <w:r>
        <w:rPr>
          <w:rFonts w:ascii="Times New Roman" w:hAnsi="Times New Roman"/>
        </w:rPr>
        <w:t>две крайние ячейки осуществляют дополнительный поворот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Выбранное количество суперпериодов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определяет количество ячеек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а значит и эффективную длину м</w:t>
      </w:r>
      <w:r>
        <w:rPr>
          <w:rFonts w:ascii="Times New Roman" w:hAnsi="Times New Roman"/>
        </w:rPr>
        <w:t>агнитов для заданного магнитного поля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в работе примем максимальное значение равным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dip</m:t>
            </m:r>
          </m:sub>
        </m:sSub>
        <m:r>
          <w:rPr>
            <w:rFonts w:ascii="Cambria Math" w:hAnsi="Cambria Math"/>
            <w:sz w:val="26"/>
            <w:szCs w:val="26"/>
          </w:rPr>
          <m:t>=1.8</m:t>
        </m:r>
      </m:oMath>
      <w:r>
        <w:rPr>
          <w:rFonts w:ascii="Times New Roman" w:hAnsi="Times New Roman"/>
        </w:rPr>
        <w:t xml:space="preserve"> Тл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Магнитная жесткость определяется исходя из энергии конечного пучка и соотношения заряда к массе </w:t>
      </w:r>
      <m:oMath>
        <m:r>
          <w:rPr>
            <w:rFonts w:ascii="Cambria Math" w:hAnsi="Cambria Math"/>
            <w:sz w:val="26"/>
            <w:szCs w:val="26"/>
          </w:rPr>
          <m:t>Bρ</m:t>
        </m:r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A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Z</m:t>
            </m:r>
          </m:den>
        </m:f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c</m:t>
            </m:r>
          </m:den>
        </m:f>
      </m:oMath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где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>
        <w:rPr>
          <w:rFonts w:ascii="Times New Roman" w:hAnsi="Times New Roman"/>
        </w:rPr>
        <w:t xml:space="preserve"> – массовое число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rFonts w:ascii="Times New Roman" w:hAnsi="Times New Roman"/>
        </w:rPr>
        <w:t xml:space="preserve"> – зарядовое число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c</m:t>
        </m:r>
      </m:oMath>
      <w:r>
        <w:rPr>
          <w:rFonts w:ascii="Times New Roman" w:hAnsi="Times New Roman"/>
        </w:rPr>
        <w:t xml:space="preserve"> – скорость света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</w:rPr>
          <m:t>βγ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u</m:t>
            </m:r>
          </m:sub>
        </m:sSub>
      </m:oMath>
      <w:r>
        <w:rPr>
          <w:rFonts w:ascii="Times New Roman" w:hAnsi="Times New Roman"/>
        </w:rPr>
        <w:t xml:space="preserve"> – импульс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u</m:t>
            </m:r>
          </m:sub>
        </m:sSub>
        <m:r>
          <w:rPr>
            <w:rFonts w:ascii="Cambria Math" w:hAnsi="Cambria Math"/>
            <w:sz w:val="26"/>
            <w:szCs w:val="26"/>
          </w:rPr>
          <m:t>=931.494</m:t>
        </m:r>
      </m:oMath>
      <w:r>
        <w:rPr>
          <w:rFonts w:ascii="Times New Roman" w:hAnsi="Times New Roman"/>
        </w:rPr>
        <w:t xml:space="preserve"> МэВ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нуклон – унифицированная атомная единица массы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Для протонов </w:t>
      </w:r>
      <w:r>
        <w:rPr>
          <w:rFonts w:ascii="Times New Roman" w:hAnsi="Times New Roman"/>
        </w:rPr>
        <w:t>(</w:t>
      </w:r>
      <m:oMath>
        <m:r>
          <w:rPr>
            <w:rFonts w:ascii="Cambria Math" w:hAnsi="Cambria Math"/>
            <w:sz w:val="26"/>
            <w:szCs w:val="26"/>
          </w:rPr>
          <m:t>A</m:t>
        </m:r>
        <m:r>
          <w:rPr>
            <w:rFonts w:ascii="Cambria Math" w:hAnsi="Cambria Math"/>
            <w:sz w:val="26"/>
            <w:szCs w:val="26"/>
          </w:rPr>
          <m:t>/</m:t>
        </m:r>
        <m:r>
          <w:rPr>
            <w:rFonts w:ascii="Cambria Math" w:hAnsi="Cambria Math"/>
            <w:sz w:val="26"/>
            <w:szCs w:val="26"/>
          </w:rPr>
          <m:t>Z</m:t>
        </m:r>
        <m:r>
          <w:rPr>
            <w:rFonts w:ascii="Cambria Math" w:hAnsi="Cambria Math"/>
            <w:sz w:val="26"/>
            <w:szCs w:val="26"/>
          </w:rPr>
          <m:t>=1</m:t>
        </m:r>
      </m:oMath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 xml:space="preserve">при энергии </w:t>
      </w:r>
      <w:r>
        <w:rPr>
          <w:rFonts w:ascii="Times New Roman" w:hAnsi="Times New Roman"/>
        </w:rPr>
        <w:t xml:space="preserve">12.4 </w:t>
      </w:r>
      <w:r>
        <w:rPr>
          <w:rFonts w:ascii="Times New Roman" w:hAnsi="Times New Roman"/>
        </w:rPr>
        <w:t xml:space="preserve">МэВ </w:t>
      </w:r>
      <w:r>
        <w:rPr>
          <w:rFonts w:ascii="Times New Roman" w:hAnsi="Times New Roman"/>
        </w:rPr>
        <w:t>(</w:t>
      </w:r>
      <m:oMath>
        <m:r>
          <w:rPr>
            <w:rFonts w:ascii="Cambria Math" w:hAnsi="Cambria Math"/>
            <w:sz w:val="26"/>
            <w:szCs w:val="26"/>
          </w:rPr>
          <m:t>γ</m:t>
        </m:r>
        <m:r>
          <w:rPr>
            <w:rFonts w:ascii="Cambria Math" w:hAnsi="Cambria Math"/>
            <w:sz w:val="26"/>
            <w:szCs w:val="26"/>
          </w:rPr>
          <m:t>=14.36</m:t>
        </m:r>
      </m:oMath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</w:rPr>
        <w:t xml:space="preserve">магнитная жесткость составляет </w:t>
      </w:r>
      <m:oMath>
        <m:r>
          <w:rPr>
            <w:rFonts w:ascii="Cambria Math" w:hAnsi="Cambria Math"/>
            <w:sz w:val="26"/>
            <w:szCs w:val="26"/>
          </w:rPr>
          <m:t>Bρ</m:t>
        </m:r>
        <m:r>
          <w:rPr>
            <w:rFonts w:ascii="Cambria Math" w:hAnsi="Cambria Math"/>
            <w:sz w:val="26"/>
            <w:szCs w:val="26"/>
          </w:rPr>
          <m:t>=44.5</m:t>
        </m:r>
      </m:oMath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Таким образом средняя кривизна орбиты </w:t>
      </w:r>
      <m:oMath>
        <m:r>
          <w:rPr>
            <w:rFonts w:ascii="Cambria Math" w:hAnsi="Cambria Math"/>
            <w:sz w:val="26"/>
            <w:szCs w:val="26"/>
          </w:rPr>
          <m:t>ρ</m:t>
        </m:r>
        <m:r>
          <w:rPr>
            <w:rFonts w:ascii="Cambria Math" w:hAnsi="Cambria Math"/>
            <w:sz w:val="26"/>
            <w:szCs w:val="26"/>
          </w:rPr>
          <m:t>=24.7</m:t>
        </m:r>
      </m:oMath>
      <w:r>
        <w:rPr>
          <w:rFonts w:ascii="Times New Roman" w:hAnsi="Times New Roman"/>
        </w:rPr>
        <w:t xml:space="preserve"> м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а длина поворотной арки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B</m:t>
            </m:r>
          </m:sub>
        </m:sSub>
        <m:r>
          <w:rPr>
            <w:rFonts w:ascii="Cambria Math" w:hAnsi="Cambria Math"/>
            <w:sz w:val="26"/>
            <w:szCs w:val="26"/>
          </w:rPr>
          <m:t>=116.4</m:t>
        </m:r>
      </m:oMath>
      <w:r>
        <w:rPr>
          <w:rFonts w:ascii="Times New Roman" w:hAnsi="Times New Roman"/>
        </w:rPr>
        <w:t xml:space="preserve"> м с учетом технических зазоров и квадрупольных магнитов длина арки составляет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arc</m:t>
            </m:r>
          </m:sub>
        </m:sSub>
        <m:r>
          <w:rPr>
            <w:rFonts w:ascii="Cambria Math" w:hAnsi="Cambria Math"/>
            <w:sz w:val="26"/>
            <w:szCs w:val="26"/>
          </w:rPr>
          <m:t>=167</m:t>
        </m:r>
      </m:oMath>
      <w:r>
        <w:rPr>
          <w:rFonts w:ascii="Times New Roman" w:hAnsi="Times New Roman"/>
        </w:rPr>
        <w:t xml:space="preserve"> м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Длина одного магнита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L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mag</m:t>
            </m:r>
          </m:sub>
        </m:sSub>
        <m:r>
          <w:rPr>
            <w:rFonts w:ascii="Cambria Math" w:hAnsi="Cambria Math"/>
            <w:sz w:val="26"/>
            <w:szCs w:val="26"/>
          </w:rPr>
          <m:t>=242.8</m:t>
        </m:r>
      </m:oMath>
      <w:r>
        <w:rPr>
          <w:rFonts w:ascii="Times New Roman" w:hAnsi="Times New Roman"/>
        </w:rPr>
        <w:t xml:space="preserve"> см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На Рис</w:t>
      </w:r>
      <w:r>
        <w:rPr>
          <w:rFonts w:ascii="Times New Roman" w:hAnsi="Times New Roman"/>
        </w:rPr>
        <w:t xml:space="preserve">. 3 </w:t>
      </w:r>
      <w:r>
        <w:rPr>
          <w:rFonts w:ascii="Times New Roman" w:hAnsi="Times New Roman"/>
        </w:rPr>
        <w:t>показан план расстановки элементов</w:t>
      </w:r>
      <w:r>
        <w:rPr>
          <w:rFonts w:ascii="Times New Roman" w:hAnsi="Times New Roman"/>
        </w:rPr>
        <w:t xml:space="preserve"> с оптимизированной длиной прямых секций</w:t>
      </w:r>
      <w:r>
        <w:rPr>
          <w:rFonts w:ascii="Times New Roman" w:hAnsi="Times New Roman"/>
        </w:rPr>
        <w:t xml:space="preserve">. </w:t>
      </w:r>
    </w:p>
    <w:p w14:paraId="3941A486" w14:textId="77777777" w:rsidR="001E785F" w:rsidRDefault="003914C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57150" distB="57150" distL="57150" distR="57150" simplePos="0" relativeHeight="251667456" behindDoc="0" locked="0" layoutInCell="1" allowOverlap="1" wp14:anchorId="038FD75B" wp14:editId="40456266">
                <wp:simplePos x="0" y="0"/>
                <wp:positionH relativeFrom="column">
                  <wp:posOffset>97789</wp:posOffset>
                </wp:positionH>
                <wp:positionV relativeFrom="line">
                  <wp:posOffset>4067174</wp:posOffset>
                </wp:positionV>
                <wp:extent cx="5940425" cy="127000"/>
                <wp:effectExtent l="0" t="0" r="0" b="0"/>
                <wp:wrapThrough wrapText="bothSides" distL="57150" distR="5715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 descr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62039DD" w14:textId="77777777" w:rsidR="001E785F" w:rsidRDefault="003914C0">
                            <w:pPr>
                              <w:pStyle w:val="a4"/>
                            </w:pPr>
                            <w:r>
                              <w:t xml:space="preserve">Рис. 4 </w:t>
                            </w:r>
                            <w:proofErr w:type="spellStart"/>
                            <w:r>
                              <w:t>Твисс</w:t>
                            </w:r>
                            <w:proofErr w:type="spellEnd"/>
                            <w:r>
                              <w:t>-функции резонансной структуры, состоящей из 2-х арок с различной кривизной и двух прямых секций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7.7pt;margin-top:320.2pt;width:467.8pt;height:10.0pt;z-index:251667456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ru-RU"/>
                        </w:rPr>
                        <w:t>Рис</w:t>
                      </w:r>
                      <w:r>
                        <w:rPr>
                          <w:rtl w:val="0"/>
                          <w:lang w:val="ru-RU"/>
                        </w:rPr>
                        <w:t xml:space="preserve">. 4 </w:t>
                      </w:r>
                      <w:r>
                        <w:rPr>
                          <w:rtl w:val="0"/>
                          <w:lang w:val="ru-RU"/>
                        </w:rPr>
                        <w:t>Твисс</w:t>
                      </w:r>
                      <w:r>
                        <w:rPr>
                          <w:rtl w:val="0"/>
                          <w:lang w:val="ru-RU"/>
                        </w:rPr>
                        <w:t>-</w:t>
                      </w:r>
                      <w:r>
                        <w:rPr>
                          <w:rtl w:val="0"/>
                          <w:lang w:val="ru-RU"/>
                        </w:rPr>
                        <w:t>функции резонансной структуры</w:t>
                      </w:r>
                      <w:r>
                        <w:rPr>
                          <w:rtl w:val="0"/>
                          <w:lang w:val="ru-RU"/>
                        </w:rPr>
                        <w:t xml:space="preserve">, </w:t>
                      </w:r>
                      <w:r>
                        <w:rPr>
                          <w:rtl w:val="0"/>
                          <w:lang w:val="ru-RU"/>
                        </w:rPr>
                        <w:t xml:space="preserve">состоящей из </w:t>
                      </w:r>
                      <w:r>
                        <w:rPr>
                          <w:rtl w:val="0"/>
                          <w:lang w:val="ru-RU"/>
                        </w:rPr>
                        <w:t>2-</w:t>
                      </w:r>
                      <w:r>
                        <w:rPr>
                          <w:rtl w:val="0"/>
                          <w:lang w:val="ru-RU"/>
                        </w:rPr>
                        <w:t>х арок с различной кривизной и двух прямых секций</w:t>
                      </w:r>
                    </w:p>
                  </w:txbxContent>
                </v:textbox>
                <w10:wrap type="through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4384" behindDoc="0" locked="0" layoutInCell="1" allowOverlap="1" wp14:anchorId="40DCC091" wp14:editId="6FD44886">
            <wp:simplePos x="0" y="0"/>
            <wp:positionH relativeFrom="column">
              <wp:posOffset>0</wp:posOffset>
            </wp:positionH>
            <wp:positionV relativeFrom="line">
              <wp:posOffset>1029606</wp:posOffset>
            </wp:positionV>
            <wp:extent cx="5940425" cy="2828290"/>
            <wp:effectExtent l="0" t="0" r="0" b="0"/>
            <wp:wrapThrough wrapText="bothSides" distL="57150" distR="5715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5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Параметры </w:t>
      </w:r>
      <w:proofErr w:type="spellStart"/>
      <w:r>
        <w:rPr>
          <w:rFonts w:ascii="Times New Roman" w:hAnsi="Times New Roman"/>
        </w:rPr>
        <w:t>Твисса</w:t>
      </w:r>
      <w:proofErr w:type="spellEnd"/>
      <w:r>
        <w:rPr>
          <w:rFonts w:ascii="Times New Roman" w:hAnsi="Times New Roman"/>
        </w:rPr>
        <w:t xml:space="preserve"> показаны на Рис</w:t>
      </w:r>
      <w:r>
        <w:rPr>
          <w:rFonts w:ascii="Times New Roman" w:hAnsi="Times New Roman"/>
        </w:rPr>
        <w:t xml:space="preserve">. 4 </w:t>
      </w:r>
      <w:r>
        <w:rPr>
          <w:rFonts w:ascii="Times New Roman" w:hAnsi="Times New Roman"/>
        </w:rPr>
        <w:t>для резонансной структуры с поднятой критической энергией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В рас</w:t>
      </w:r>
      <w:r>
        <w:rPr>
          <w:rFonts w:ascii="Times New Roman" w:hAnsi="Times New Roman"/>
        </w:rPr>
        <w:t xml:space="preserve">смотренном случае используются глубина модуляции </w:t>
      </w:r>
      <m:oMath>
        <m:r>
          <w:rPr>
            <w:rFonts w:ascii="Cambria Math" w:hAnsi="Cambria Math"/>
            <w:sz w:val="26"/>
            <w:szCs w:val="26"/>
          </w:rPr>
          <m:t>H</m:t>
        </m:r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QF1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QF2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QF1</m:t>
            </m:r>
          </m:sub>
        </m:sSub>
        <m:r>
          <w:rPr>
            <w:rFonts w:ascii="Cambria Math" w:hAnsi="Cambria Math"/>
            <w:sz w:val="26"/>
            <w:szCs w:val="26"/>
          </w:rPr>
          <m:t>=36%</m:t>
        </m:r>
      </m:oMath>
      <w:r>
        <w:rPr>
          <w:rFonts w:ascii="Times New Roman" w:hAnsi="Times New Roman"/>
        </w:rPr>
        <w:t xml:space="preserve"> и критическая энергия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γ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tr</m:t>
            </m:r>
          </m:sub>
        </m:sSub>
        <m:r>
          <w:rPr>
            <w:rFonts w:ascii="Cambria Math" w:hAnsi="Cambria Math"/>
            <w:sz w:val="26"/>
            <w:szCs w:val="26"/>
          </w:rPr>
          <m:t>=54.7</m:t>
        </m:r>
      </m:oMath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в каждом конкретном случае эти значения подбираются для потребностей эксперимента</w:t>
      </w:r>
      <w:r>
        <w:rPr>
          <w:rFonts w:ascii="Times New Roman" w:hAnsi="Times New Roman"/>
        </w:rPr>
        <w:t>.</w:t>
      </w:r>
    </w:p>
    <w:p w14:paraId="26517FAC" w14:textId="77777777" w:rsidR="001E785F" w:rsidRDefault="001E785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1F9BBEE8" w14:textId="77777777" w:rsidR="001E785F" w:rsidRDefault="003914C0">
      <w:pPr>
        <w:pStyle w:val="1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Квази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замороженная опция</w:t>
      </w:r>
    </w:p>
    <w:p w14:paraId="34F78075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Для измерения ЭДМ необходимо накопление </w:t>
      </w:r>
      <w:r>
        <w:rPr>
          <w:rFonts w:ascii="Times New Roman" w:eastAsia="Times New Roman" w:hAnsi="Times New Roman" w:cs="Times New Roman"/>
        </w:rPr>
        <w:t>ЭДМ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компоненты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а также компенсация МДМ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компоненты</w:t>
      </w:r>
      <w:r>
        <w:rPr>
          <w:rFonts w:ascii="Times New Roman" w:hAnsi="Times New Roman"/>
        </w:rPr>
        <w:t xml:space="preserve">.  </w:t>
      </w:r>
      <w:r>
        <w:rPr>
          <w:rFonts w:ascii="Times New Roman" w:hAnsi="Times New Roman"/>
        </w:rPr>
        <w:t>В магнитном кольце для подавления МДМ может быть использована структура с квази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замороженным спином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В этом случае необходимо использование элементов с электрическим полем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для сохранения прямолинейной о</w:t>
      </w:r>
      <w:r>
        <w:rPr>
          <w:rFonts w:ascii="Times New Roman" w:hAnsi="Times New Roman"/>
        </w:rPr>
        <w:t>рбиты применяются прямые фильтры Вина со скрещенными магнитным и электрическим полями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Для кольца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>подавление МДМ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компоненты выполняется автоматически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однако накопление ЭДМ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компоненты не происходит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Для накопления сигнала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необходимо </w:t>
      </w:r>
      <w:r>
        <w:rPr>
          <w:rFonts w:ascii="Times New Roman" w:hAnsi="Times New Roman"/>
        </w:rPr>
        <w:t>использование как фильтра Вина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так и соленоида на каждом прямолинейном участке</w:t>
      </w:r>
      <w:r>
        <w:rPr>
          <w:rFonts w:ascii="Times New Roman" w:hAnsi="Times New Roman"/>
        </w:rPr>
        <w:t>.</w:t>
      </w:r>
    </w:p>
    <w:p w14:paraId="1607C87F" w14:textId="77777777" w:rsidR="001E785F" w:rsidRDefault="003914C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Другой особенностью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необходимой для измерения ЭДМ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сигнала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является подавление декогеренции </w:t>
      </w:r>
      <w:r>
        <w:rPr>
          <w:rFonts w:ascii="Times New Roman" w:hAnsi="Times New Roman"/>
        </w:rPr>
        <w:t xml:space="preserve">[7]. </w:t>
      </w:r>
      <w:r>
        <w:rPr>
          <w:rFonts w:ascii="Times New Roman" w:hAnsi="Times New Roman"/>
        </w:rPr>
        <w:t>Для этого минимизируется отклонение равновесного уровня от эффективной энерги</w:t>
      </w:r>
      <w:r>
        <w:rPr>
          <w:rFonts w:ascii="Times New Roman" w:hAnsi="Times New Roman"/>
        </w:rPr>
        <w:t>и</w:t>
      </w:r>
    </w:p>
    <w:p w14:paraId="43A36842" w14:textId="77777777" w:rsidR="001E785F" w:rsidRDefault="003914C0">
      <w:pPr>
        <w:spacing w:line="360" w:lineRule="auto"/>
        <w:jc w:val="center"/>
        <w:rPr>
          <w:rFonts w:ascii="Times New Roman" w:eastAsia="Times New Roman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δ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eq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>,(3)</m:t>
          </m:r>
        </m:oMath>
      </m:oMathPara>
    </w:p>
    <w:p w14:paraId="6EE387B0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</m:oMath>
      <w:r>
        <w:rPr>
          <w:rFonts w:ascii="Times New Roman" w:hAnsi="Times New Roman"/>
        </w:rPr>
        <w:t xml:space="preserve"> – Лоренц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фактор референсной частицы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</w:rPr>
              <m:t>α</m:t>
            </m:r>
          </m:e>
          <m:sub>
            <m:r>
              <w:rPr>
                <w:rFonts w:ascii="Cambria Math" w:hAnsi="Cambria Math"/>
                <w:sz w:val="27"/>
                <w:szCs w:val="27"/>
              </w:rPr>
              <m:t>0</m:t>
            </m:r>
          </m:sub>
        </m:sSub>
        <m:r>
          <w:rPr>
            <w:rFonts w:ascii="Cambria Math" w:hAnsi="Cambria Math"/>
            <w:sz w:val="27"/>
            <w:szCs w:val="27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</w:rPr>
              <m:t>α</m:t>
            </m:r>
          </m:e>
          <m:sub>
            <m:r>
              <w:rPr>
                <w:rFonts w:ascii="Cambria Math" w:hAnsi="Cambria Math"/>
                <w:sz w:val="27"/>
                <w:szCs w:val="27"/>
              </w:rPr>
              <m:t>1</m:t>
            </m:r>
          </m:sub>
        </m:sSub>
      </m:oMath>
      <w:r>
        <w:rPr>
          <w:rFonts w:ascii="Times New Roman" w:hAnsi="Times New Roman"/>
        </w:rPr>
        <w:t xml:space="preserve"> – первый и второй порядок разложения коэффициента уплотнения орбиты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/>
        </w:rPr>
        <w:t xml:space="preserve"> – разброс по импульсу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L</m:t>
        </m:r>
      </m:oMath>
      <w:r>
        <w:rPr>
          <w:rFonts w:ascii="Times New Roman" w:hAnsi="Times New Roman"/>
        </w:rPr>
        <w:t xml:space="preserve"> – длина ускор</w:t>
      </w:r>
      <w:r>
        <w:rPr>
          <w:rFonts w:ascii="Times New Roman" w:hAnsi="Times New Roman"/>
        </w:rPr>
        <w:t>ителя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x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y</m:t>
            </m:r>
          </m:sub>
        </m:sSub>
      </m:oMath>
      <w:r>
        <w:rPr>
          <w:rFonts w:ascii="Times New Roman" w:hAnsi="Times New Roman"/>
        </w:rPr>
        <w:t xml:space="preserve"> – частота бетатронных колебаний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 xml:space="preserve">Приведенное уравнение показывает необходимость использования </w:t>
      </w:r>
      <w:r>
        <w:rPr>
          <w:rFonts w:ascii="Times New Roman" w:hAnsi="Times New Roman"/>
        </w:rPr>
        <w:t>3-</w:t>
      </w:r>
      <w:r>
        <w:rPr>
          <w:rFonts w:ascii="Times New Roman" w:hAnsi="Times New Roman"/>
        </w:rPr>
        <w:t>х независимых семейств секступолей для коррекции удлинения орбиты вследствие продольного и бетатронного движения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Для этого одно семейство долж</w:t>
      </w:r>
      <w:r>
        <w:rPr>
          <w:rFonts w:ascii="Times New Roman" w:hAnsi="Times New Roman"/>
        </w:rPr>
        <w:t>но быть установлено в места максимума дисперсионной функции для коррекции второго порядка коэффициента уплотнения орбиты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Другие два семейства располагаются в места максимумов </w:t>
      </w:r>
      <m:oMath>
        <m:r>
          <w:rPr>
            <w:rFonts w:ascii="Cambria Math" w:hAnsi="Cambria Math"/>
            <w:sz w:val="24"/>
            <w:szCs w:val="24"/>
          </w:rPr>
          <m:t>β</m:t>
        </m:r>
      </m:oMath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функции для коррекции хроматичности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В случае магнитного кольца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>существуют предположения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указывающее на высокое время когерентности априори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без введения секступолей </w:t>
      </w:r>
      <w:r>
        <w:rPr>
          <w:rFonts w:ascii="Times New Roman" w:hAnsi="Times New Roman"/>
        </w:rPr>
        <w:t xml:space="preserve">[8]. </w:t>
      </w:r>
      <w:r>
        <w:rPr>
          <w:rFonts w:ascii="Times New Roman" w:hAnsi="Times New Roman"/>
        </w:rPr>
        <w:t>Использование сложной конфигурации полей для накопления ЭДМ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сигнала с применением как фильтров Вина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так и соле</w:t>
      </w:r>
      <w:r>
        <w:rPr>
          <w:rFonts w:ascii="Times New Roman" w:hAnsi="Times New Roman"/>
        </w:rPr>
        <w:t>ноидов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потребует соответствующей </w:t>
      </w:r>
      <w:proofErr w:type="spellStart"/>
      <w:r>
        <w:rPr>
          <w:rFonts w:ascii="Times New Roman" w:hAnsi="Times New Roman"/>
        </w:rPr>
        <w:t>секступольной</w:t>
      </w:r>
      <w:proofErr w:type="spellEnd"/>
      <w:r>
        <w:rPr>
          <w:rFonts w:ascii="Times New Roman" w:hAnsi="Times New Roman"/>
        </w:rPr>
        <w:t xml:space="preserve"> коррекции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В приведенной реализации на Рис</w:t>
      </w:r>
      <w:r>
        <w:rPr>
          <w:rFonts w:ascii="Times New Roman" w:hAnsi="Times New Roman"/>
        </w:rPr>
        <w:t xml:space="preserve">. 5 </w:t>
      </w:r>
      <w:r>
        <w:rPr>
          <w:rFonts w:ascii="Times New Roman" w:hAnsi="Times New Roman"/>
        </w:rPr>
        <w:t>приведена регулярная арка с возможностью расстановки трех линейно независимых семейств секступолей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подавление дисперсии на краях арки обеспечивается набегом фазы</w:t>
      </w:r>
      <w:r>
        <w:rPr>
          <w:rFonts w:ascii="Times New Roman" w:hAnsi="Times New Roman"/>
        </w:rPr>
        <w:t xml:space="preserve"> равным </w:t>
      </w:r>
      <m:oMath>
        <m:r>
          <w:rPr>
            <w:rFonts w:ascii="Cambria Math" w:hAnsi="Cambria Math"/>
            <w:sz w:val="26"/>
            <w:szCs w:val="26"/>
          </w:rPr>
          <m:t>3×2</m:t>
        </m:r>
        <m:r>
          <w:rPr>
            <w:rFonts w:ascii="Cambria Math" w:hAnsi="Cambria Math"/>
            <w:sz w:val="26"/>
            <w:szCs w:val="26"/>
          </w:rPr>
          <m:t>π</m:t>
        </m:r>
      </m:oMath>
      <w:r>
        <w:rPr>
          <w:rFonts w:ascii="Times New Roman" w:hAnsi="Times New Roman"/>
        </w:rPr>
        <w:t>.</w:t>
      </w:r>
      <w:r>
        <w:rPr>
          <w:rFonts w:ascii="Times New Roman" w:eastAsia="Times New Roman" w:hAnsi="Times New Roman" w:cs="Times New Roman"/>
          <w:i/>
          <w:iCs/>
        </w:rPr>
        <w:tab/>
      </w:r>
    </w:p>
    <w:p w14:paraId="29D9515E" w14:textId="77777777" w:rsidR="001E785F" w:rsidRDefault="003914C0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57150" distB="57150" distL="57150" distR="57150" simplePos="0" relativeHeight="251670528" behindDoc="0" locked="0" layoutInCell="1" allowOverlap="1" wp14:anchorId="3DEF3251" wp14:editId="1C6A2E29">
                <wp:simplePos x="0" y="0"/>
                <wp:positionH relativeFrom="column">
                  <wp:posOffset>0</wp:posOffset>
                </wp:positionH>
                <wp:positionV relativeFrom="line">
                  <wp:posOffset>4329429</wp:posOffset>
                </wp:positionV>
                <wp:extent cx="5940425" cy="127000"/>
                <wp:effectExtent l="0" t="0" r="0" b="0"/>
                <wp:wrapThrough wrapText="bothSides" distL="57150" distR="5715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D9A7A70" w14:textId="77777777" w:rsidR="001E785F" w:rsidRDefault="003914C0">
                            <w:pPr>
                              <w:pStyle w:val="a4"/>
                            </w:pPr>
                            <w:r>
                              <w:t xml:space="preserve">Рис. 5 </w:t>
                            </w:r>
                            <w:proofErr w:type="spellStart"/>
                            <w:r>
                              <w:t>Твисс</w:t>
                            </w:r>
                            <w:proofErr w:type="spellEnd"/>
                            <w:r>
                              <w:t xml:space="preserve">-функции регулярной структуры, оптимизированной для проведения ЭДМ-эксперимента.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0.0pt;margin-top:340.9pt;width:467.8pt;height:10.0pt;z-index:251670528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ru-RU"/>
                        </w:rPr>
                        <w:t>Рис</w:t>
                      </w:r>
                      <w:r>
                        <w:rPr>
                          <w:rtl w:val="0"/>
                          <w:lang w:val="ru-RU"/>
                        </w:rPr>
                        <w:t xml:space="preserve">. 5 </w:t>
                      </w:r>
                      <w:r>
                        <w:rPr>
                          <w:rtl w:val="0"/>
                          <w:lang w:val="ru-RU"/>
                        </w:rPr>
                        <w:t>Твисс</w:t>
                      </w:r>
                      <w:r>
                        <w:rPr>
                          <w:rtl w:val="0"/>
                          <w:lang w:val="ru-RU"/>
                        </w:rPr>
                        <w:t>-</w:t>
                      </w:r>
                      <w:r>
                        <w:rPr>
                          <w:rtl w:val="0"/>
                          <w:lang w:val="ru-RU"/>
                        </w:rPr>
                        <w:t>функции регулярной структуры</w:t>
                      </w:r>
                      <w:r>
                        <w:rPr>
                          <w:rtl w:val="0"/>
                          <w:lang w:val="ru-RU"/>
                        </w:rPr>
                        <w:t xml:space="preserve">, </w:t>
                      </w:r>
                      <w:r>
                        <w:rPr>
                          <w:rtl w:val="0"/>
                          <w:lang w:val="ru-RU"/>
                        </w:rPr>
                        <w:t>оптимизированной для проведения ЭДМ</w:t>
                      </w:r>
                      <w:r>
                        <w:rPr>
                          <w:rtl w:val="0"/>
                          <w:lang w:val="ru-RU"/>
                        </w:rPr>
                        <w:t>-</w:t>
                      </w:r>
                      <w:r>
                        <w:rPr>
                          <w:rtl w:val="0"/>
                          <w:lang w:val="ru-RU"/>
                        </w:rPr>
                        <w:t>эксперимента</w:t>
                      </w:r>
                      <w:r>
                        <w:rPr>
                          <w:rtl w:val="0"/>
                          <w:lang w:val="ru-RU"/>
                        </w:rPr>
                        <w:t xml:space="preserve">. </w:t>
                      </w:r>
                    </w:p>
                  </w:txbxContent>
                </v:textbox>
                <w10:wrap type="through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8480" behindDoc="0" locked="0" layoutInCell="1" allowOverlap="1" wp14:anchorId="3079A17A" wp14:editId="4534A335">
            <wp:simplePos x="0" y="0"/>
            <wp:positionH relativeFrom="column">
              <wp:posOffset>0</wp:posOffset>
            </wp:positionH>
            <wp:positionV relativeFrom="line">
              <wp:posOffset>1436642</wp:posOffset>
            </wp:positionV>
            <wp:extent cx="5940425" cy="2835911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6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ab/>
        <w:t>Кроме того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кольцо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>имеет ряд преимуществ для проведения экспериментов по поиску аксиона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Поскольку спин</w:t>
      </w:r>
      <w:r>
        <w:rPr>
          <w:rFonts w:ascii="Times New Roman" w:hAnsi="Times New Roman"/>
        </w:rPr>
        <w:t>-</w:t>
      </w:r>
      <w:proofErr w:type="spellStart"/>
      <w:r>
        <w:rPr>
          <w:rFonts w:ascii="Times New Roman" w:hAnsi="Times New Roman"/>
        </w:rPr>
        <w:t>тюн</w:t>
      </w:r>
      <w:proofErr w:type="spellEnd"/>
      <w:r>
        <w:rPr>
          <w:rFonts w:ascii="Times New Roman" w:hAnsi="Times New Roman"/>
        </w:rPr>
        <w:t xml:space="preserve"> в первом приближении им</w:t>
      </w:r>
      <w:r>
        <w:rPr>
          <w:rFonts w:ascii="Times New Roman" w:hAnsi="Times New Roman"/>
        </w:rPr>
        <w:t>еет нулевое значение для любого сорта частиц и любой энергии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это открывает значительную перспективу использования протонного пучка в структуре кольца в форме </w:t>
      </w:r>
      <w:r>
        <w:rPr>
          <w:rFonts w:ascii="Times New Roman" w:hAnsi="Times New Roman"/>
        </w:rPr>
        <w:t xml:space="preserve">8 </w:t>
      </w:r>
      <w:r>
        <w:rPr>
          <w:rFonts w:ascii="Times New Roman" w:hAnsi="Times New Roman"/>
        </w:rPr>
        <w:t>с фильтром Вина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задающим частоту прецессии спина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Таким образом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кольцо будет использовано в к</w:t>
      </w:r>
      <w:r>
        <w:rPr>
          <w:rFonts w:ascii="Times New Roman" w:hAnsi="Times New Roman"/>
        </w:rPr>
        <w:t xml:space="preserve">ачестве </w:t>
      </w:r>
      <w:proofErr w:type="spellStart"/>
      <w:r>
        <w:rPr>
          <w:rFonts w:ascii="Times New Roman" w:hAnsi="Times New Roman"/>
        </w:rPr>
        <w:t>аксионной</w:t>
      </w:r>
      <w:proofErr w:type="spellEnd"/>
      <w:r>
        <w:rPr>
          <w:rFonts w:ascii="Times New Roman" w:hAnsi="Times New Roman"/>
        </w:rPr>
        <w:t xml:space="preserve"> антенны и могут быть исследованы </w:t>
      </w:r>
      <w:proofErr w:type="spellStart"/>
      <w:r>
        <w:rPr>
          <w:rFonts w:ascii="Times New Roman" w:hAnsi="Times New Roman"/>
        </w:rPr>
        <w:t>аксионоподобные</w:t>
      </w:r>
      <w:proofErr w:type="spellEnd"/>
      <w:r>
        <w:rPr>
          <w:rFonts w:ascii="Times New Roman" w:hAnsi="Times New Roman"/>
        </w:rPr>
        <w:t xml:space="preserve"> частицы низких масс</w:t>
      </w:r>
      <w:r>
        <w:rPr>
          <w:rFonts w:ascii="Times New Roman" w:hAnsi="Times New Roman"/>
        </w:rPr>
        <w:t>.</w:t>
      </w:r>
      <w:r>
        <w:rPr>
          <w:rFonts w:ascii="Arial Unicode MS" w:hAnsi="Arial Unicode MS"/>
        </w:rPr>
        <w:br w:type="page"/>
      </w:r>
    </w:p>
    <w:p w14:paraId="11134251" w14:textId="77777777" w:rsidR="001E785F" w:rsidRDefault="003914C0">
      <w:pPr>
        <w:pStyle w:val="1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lastRenderedPageBreak/>
        <w:t>Тяжелоионная опция</w:t>
      </w:r>
    </w:p>
    <w:p w14:paraId="2AE3D5A0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Особенность кольца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ориентированного на ускорение высоко интенсивного пучка тяжелых ионов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состоит в обеспечении высокого времени жизни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Ввиду </w:t>
      </w:r>
      <w:r>
        <w:rPr>
          <w:rFonts w:ascii="Times New Roman" w:hAnsi="Times New Roman"/>
        </w:rPr>
        <w:t>высокой зарядности частиц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критически важным является влияние внутрипучкового рассеяния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ВПР</w:t>
      </w:r>
      <w:r>
        <w:rPr>
          <w:rFonts w:ascii="Times New Roman" w:hAnsi="Times New Roman"/>
        </w:rPr>
        <w:t xml:space="preserve">), </w:t>
      </w:r>
      <w:r>
        <w:rPr>
          <w:rFonts w:ascii="Times New Roman" w:hAnsi="Times New Roman"/>
        </w:rPr>
        <w:t>приводящего к увеличению эмиттанса сгустка и снижению светимости коллайдерного эксперимента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Характерное время ВПР в горизонтальной плоскости зависит от различны</w:t>
      </w:r>
      <w:r>
        <w:rPr>
          <w:rFonts w:ascii="Times New Roman" w:hAnsi="Times New Roman"/>
        </w:rPr>
        <w:t xml:space="preserve">х параметров пучка и магнитооптики </w:t>
      </w:r>
      <w:r>
        <w:rPr>
          <w:rFonts w:ascii="Times New Roman" w:hAnsi="Times New Roman"/>
        </w:rPr>
        <w:t xml:space="preserve">[9]: </w:t>
      </w:r>
      <w:r>
        <w:rPr>
          <w:rFonts w:ascii="Arial Unicode MS" w:hAnsi="Arial Unicode M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</m:den>
              </m:f>
            </m:e>
          </m:d>
          <m:nary>
            <m:naryPr>
              <m:limLoc m:val="subSup"/>
              <m:grow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/>
          </m:nary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bλ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,(4)</m:t>
          </m:r>
        </m:oMath>
      </m:oMathPara>
    </w:p>
    <w:p w14:paraId="01871772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/>
        </w:rPr>
        <w:t xml:space="preserve"> – классический радиус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21"/>
            <w:szCs w:val="21"/>
          </w:rPr>
          <m:t>β</m:t>
        </m:r>
        <m:r>
          <w:rPr>
            <w:rFonts w:ascii="Cambria Math" w:hAnsi="Cambria Math"/>
            <w:sz w:val="21"/>
            <w:szCs w:val="21"/>
          </w:rPr>
          <m:t>,</m:t>
        </m:r>
        <m:r>
          <w:rPr>
            <w:rFonts w:ascii="Cambria Math" w:hAnsi="Cambria Math"/>
            <w:sz w:val="21"/>
            <w:szCs w:val="21"/>
          </w:rPr>
          <m:t>γ</m:t>
        </m:r>
      </m:oMath>
      <w:r>
        <w:rPr>
          <w:rFonts w:ascii="Times New Roman" w:hAnsi="Times New Roman"/>
        </w:rPr>
        <w:t xml:space="preserve"> – относительная скорость и Лоренц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фактор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</m:oMath>
      <w:r>
        <w:rPr>
          <w:rFonts w:ascii="Times New Roman" w:hAnsi="Times New Roman"/>
        </w:rPr>
        <w:t xml:space="preserve">,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ascii="Times New Roman" w:hAnsi="Times New Roman"/>
        </w:rPr>
        <w:t xml:space="preserve"> – эмиттанс в горизонтальной плоскости</w:t>
      </w:r>
      <w:r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  <w:sz w:val="19"/>
            <w:szCs w:val="19"/>
          </w:rPr>
          <m:t>N</m:t>
        </m:r>
      </m:oMath>
      <w:r>
        <w:rPr>
          <w:rFonts w:ascii="Times New Roman" w:hAnsi="Times New Roman"/>
        </w:rPr>
        <w:t xml:space="preserve"> – количество частиц</w:t>
      </w:r>
      <w:r>
        <w:rPr>
          <w:rFonts w:ascii="Times New Roman" w:hAnsi="Times New Roman"/>
        </w:rPr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rFonts w:ascii="Times New Roman" w:hAnsi="Times New Roman"/>
        </w:rPr>
        <w:t xml:space="preserve"> – кулоновский логарифм</w:t>
      </w:r>
      <w:r>
        <w:rPr>
          <w:rFonts w:ascii="Times New Roman" w:hAnsi="Times New Roman"/>
        </w:rPr>
        <w:t xml:space="preserve">,  </w:t>
      </w:r>
      <m:oMath>
        <m:r>
          <w:rPr>
            <w:rFonts w:ascii="Cambria Math" w:hAnsi="Cambria Math"/>
          </w:rPr>
          <m:t>Γ=(2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βγ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6-</w:t>
      </w:r>
      <w:r>
        <w:rPr>
          <w:rFonts w:ascii="Times New Roman" w:hAnsi="Times New Roman"/>
        </w:rPr>
        <w:t>мерный фазовый объем</w:t>
      </w:r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≡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</m:oMath>
      <w:bookmarkStart w:id="1" w:name="_Hlk202963199"/>
      <w:bookmarkEnd w:id="1"/>
      <w:r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x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x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w:rPr>
            <w:rFonts w:ascii="Cambria Math" w:hAnsi="Cambria Math"/>
            <w:sz w:val="21"/>
            <w:szCs w:val="21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x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</m:oMath>
      <w:r>
        <w:rPr>
          <w:rFonts w:ascii="Times New Roman" w:hAnsi="Times New Roman"/>
        </w:rPr>
        <w:t xml:space="preserve"> – бета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функция и дисперсия и их </w:t>
      </w:r>
      <w:r>
        <w:rPr>
          <w:rFonts w:ascii="Times New Roman" w:hAnsi="Times New Roman"/>
        </w:rPr>
        <w:t>производные соответственно</w:t>
      </w:r>
      <w:r>
        <w:rPr>
          <w:rFonts w:ascii="Times New Roman" w:hAnsi="Times New Roman"/>
        </w:rPr>
        <w:t xml:space="preserve">,  </w:t>
      </w:r>
      <w:r>
        <w:rPr>
          <w:rFonts w:ascii="Times New Roman" w:hAnsi="Times New Roman"/>
        </w:rPr>
        <w:t xml:space="preserve">коэффициенты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ascii="Times New Roman" w:hAnsi="Times New Roman"/>
        </w:rPr>
        <w:t xml:space="preserve"> определяются в различных моделях по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разному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>Такие вычисления применяются в программах моделирования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таких как </w:t>
      </w:r>
      <w:r>
        <w:rPr>
          <w:rFonts w:ascii="Times New Roman" w:hAnsi="Times New Roman"/>
          <w:lang w:val="en-US"/>
        </w:rPr>
        <w:t>MADX</w:t>
      </w:r>
      <w:r>
        <w:rPr>
          <w:rFonts w:ascii="Times New Roman" w:hAnsi="Times New Roman"/>
        </w:rPr>
        <w:t xml:space="preserve"> [</w:t>
      </w:r>
      <w:r w:rsidRPr="002B7D9D">
        <w:rPr>
          <w:rFonts w:ascii="Times New Roman" w:hAnsi="Times New Roman"/>
        </w:rPr>
        <w:t>10</w:t>
      </w:r>
      <w:r>
        <w:rPr>
          <w:rFonts w:ascii="Times New Roman" w:hAnsi="Times New Roman"/>
        </w:rPr>
        <w:t>].</w:t>
      </w:r>
    </w:p>
    <w:p w14:paraId="369B2C5C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Общим походом в этом случае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являются минимизация бета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функции и дисперс</w:t>
      </w:r>
      <w:r>
        <w:rPr>
          <w:rFonts w:ascii="Times New Roman" w:hAnsi="Times New Roman"/>
        </w:rPr>
        <w:t>ия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а также их регуляризация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что приводит к увеличению времени ВПР в структуре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Подобный эффект достигается при использовании полностью регулярных поворотных арок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Однако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для согласования с прямым бездисперсионным участком требуется подавление дисперсии </w:t>
      </w:r>
      <w:r>
        <w:rPr>
          <w:rFonts w:ascii="Times New Roman" w:hAnsi="Times New Roman"/>
        </w:rPr>
        <w:t>на краях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что нарушает регулярность в этой области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Для наиболее эффективного подавления применяется методика отсутствующих магнитов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missing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magnet</w:t>
      </w:r>
      <w:r>
        <w:rPr>
          <w:rFonts w:ascii="Times New Roman" w:hAnsi="Times New Roman"/>
        </w:rPr>
        <w:t xml:space="preserve">) [11]. </w:t>
      </w:r>
      <w:r>
        <w:rPr>
          <w:rFonts w:ascii="Times New Roman" w:hAnsi="Times New Roman"/>
        </w:rPr>
        <w:t>Менее эффективно подавление дисперсии может быть осуществлено вариацией градиента в квадрупольных ли</w:t>
      </w:r>
      <w:r>
        <w:rPr>
          <w:rFonts w:ascii="Times New Roman" w:hAnsi="Times New Roman"/>
        </w:rPr>
        <w:t xml:space="preserve">нзах </w:t>
      </w:r>
      <w:r>
        <w:rPr>
          <w:rFonts w:ascii="Times New Roman" w:hAnsi="Times New Roman"/>
        </w:rPr>
        <w:t>2-</w:t>
      </w:r>
      <w:r>
        <w:rPr>
          <w:rFonts w:ascii="Times New Roman" w:hAnsi="Times New Roman"/>
        </w:rPr>
        <w:t xml:space="preserve">х или </w:t>
      </w:r>
      <w:r>
        <w:rPr>
          <w:rFonts w:ascii="Times New Roman" w:hAnsi="Times New Roman"/>
        </w:rPr>
        <w:t>3-</w:t>
      </w:r>
      <w:r>
        <w:rPr>
          <w:rFonts w:ascii="Times New Roman" w:hAnsi="Times New Roman"/>
        </w:rPr>
        <w:t>х крайних ячейках</w:t>
      </w:r>
      <w:r>
        <w:rPr>
          <w:rFonts w:ascii="Times New Roman" w:hAnsi="Times New Roman"/>
        </w:rPr>
        <w:t>.</w:t>
      </w:r>
    </w:p>
    <w:p w14:paraId="7A0184E2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1552" behindDoc="0" locked="0" layoutInCell="1" allowOverlap="1" wp14:anchorId="0F65F296" wp14:editId="55181F29">
                <wp:simplePos x="0" y="0"/>
                <wp:positionH relativeFrom="column">
                  <wp:posOffset>-71755</wp:posOffset>
                </wp:positionH>
                <wp:positionV relativeFrom="line">
                  <wp:posOffset>4831079</wp:posOffset>
                </wp:positionV>
                <wp:extent cx="5940425" cy="369571"/>
                <wp:effectExtent l="0" t="0" r="0" b="0"/>
                <wp:wrapTopAndBottom distT="0" distB="0"/>
                <wp:docPr id="1073741836" name="officeArt object" descr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695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7FF96BD" w14:textId="77777777" w:rsidR="001E785F" w:rsidRDefault="003914C0">
                            <w:pPr>
                              <w:pStyle w:val="a4"/>
                            </w:pPr>
                            <w:r>
                              <w:t xml:space="preserve">Рис. 6 </w:t>
                            </w:r>
                            <w:proofErr w:type="spellStart"/>
                            <w:r>
                              <w:t>Твисс</w:t>
                            </w:r>
                            <w:proofErr w:type="spellEnd"/>
                            <w:r>
                              <w:t xml:space="preserve">-функции регулярной структуры, оптимизированной для тяжелых ионов с точки зрения увеличения времени внутрипучкового рассеяния.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-5.7pt;margin-top:380.4pt;width:467.8pt;height:29.1pt;z-index:25167155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</w:pPr>
                      <w:r>
                        <w:rPr>
                          <w:rtl w:val="0"/>
                          <w:lang w:val="ru-RU"/>
                        </w:rPr>
                        <w:t>Рис</w:t>
                      </w:r>
                      <w:r>
                        <w:rPr>
                          <w:rtl w:val="0"/>
                          <w:lang w:val="ru-RU"/>
                        </w:rPr>
                        <w:t xml:space="preserve">. 6 </w:t>
                      </w:r>
                      <w:r>
                        <w:rPr>
                          <w:rtl w:val="0"/>
                          <w:lang w:val="ru-RU"/>
                        </w:rPr>
                        <w:t>Твисс</w:t>
                      </w:r>
                      <w:r>
                        <w:rPr>
                          <w:rtl w:val="0"/>
                          <w:lang w:val="ru-RU"/>
                        </w:rPr>
                        <w:t>-</w:t>
                      </w:r>
                      <w:r>
                        <w:rPr>
                          <w:rtl w:val="0"/>
                          <w:lang w:val="ru-RU"/>
                        </w:rPr>
                        <w:t>функции регулярной структуры</w:t>
                      </w:r>
                      <w:r>
                        <w:rPr>
                          <w:rtl w:val="0"/>
                          <w:lang w:val="ru-RU"/>
                        </w:rPr>
                        <w:t xml:space="preserve">, </w:t>
                      </w:r>
                      <w:r>
                        <w:rPr>
                          <w:rtl w:val="0"/>
                          <w:lang w:val="ru-RU"/>
                        </w:rPr>
                        <w:t>оптимизированной для тяжелых ионов с точки зрения увеличения времени внутрипучкового рассеяния</w:t>
                      </w:r>
                      <w:r>
                        <w:rPr>
                          <w:rtl w:val="0"/>
                          <w:lang w:val="ru-RU"/>
                        </w:rPr>
                        <w:t xml:space="preserve">. </w:t>
                      </w:r>
                    </w:p>
                  </w:txbxContent>
                </v:textbox>
                <w10:wrap type="topAndBottom" side="bothSides" anchorx="tex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0" distB="0" distL="0" distR="0" simplePos="0" relativeHeight="251669504" behindDoc="0" locked="0" layoutInCell="1" allowOverlap="1" wp14:anchorId="19704A5A" wp14:editId="03E12C1A">
            <wp:simplePos x="0" y="0"/>
            <wp:positionH relativeFrom="column">
              <wp:posOffset>-60374</wp:posOffset>
            </wp:positionH>
            <wp:positionV relativeFrom="line">
              <wp:posOffset>1951891</wp:posOffset>
            </wp:positionV>
            <wp:extent cx="5940425" cy="2827021"/>
            <wp:effectExtent l="0" t="0" r="0" b="0"/>
            <wp:wrapTopAndBottom distT="0" distB="0"/>
            <wp:docPr id="107374183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" descr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Поскольку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в рассматриваемой работе исследуется </w:t>
      </w:r>
      <w:r>
        <w:rPr>
          <w:rFonts w:ascii="Times New Roman" w:hAnsi="Times New Roman"/>
        </w:rPr>
        <w:t>многофункциональность структуры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то расстановка элементов предполагается неизменной и будет рассмотрен второй указанный вариант подавления дисперсии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Подобный подход исследован при создании дуальной структуры </w:t>
      </w:r>
      <w:r w:rsidRPr="002B7D9D">
        <w:rPr>
          <w:rFonts w:ascii="Times New Roman" w:hAnsi="Times New Roman"/>
        </w:rPr>
        <w:t>[12].</w:t>
      </w:r>
      <w:r>
        <w:rPr>
          <w:rFonts w:ascii="Times New Roman" w:hAnsi="Times New Roman"/>
        </w:rPr>
        <w:t xml:space="preserve"> На Рис</w:t>
      </w:r>
      <w:r>
        <w:rPr>
          <w:rFonts w:ascii="Times New Roman" w:hAnsi="Times New Roman"/>
        </w:rPr>
        <w:t xml:space="preserve">. 6 </w:t>
      </w:r>
      <w:r>
        <w:rPr>
          <w:rFonts w:ascii="Times New Roman" w:hAnsi="Times New Roman"/>
        </w:rPr>
        <w:t xml:space="preserve">показан принципиальный вид </w:t>
      </w:r>
      <w:proofErr w:type="spellStart"/>
      <w:r>
        <w:rPr>
          <w:rFonts w:ascii="Times New Roman" w:hAnsi="Times New Roman"/>
        </w:rPr>
        <w:t>Твис</w:t>
      </w:r>
      <w:r>
        <w:rPr>
          <w:rFonts w:ascii="Times New Roman" w:hAnsi="Times New Roman"/>
        </w:rPr>
        <w:t>с</w:t>
      </w:r>
      <w:proofErr w:type="spellEnd"/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параметров для тяжелоионной структуры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Ввиду неоптимальности выбранного способа подавления дисперсии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на краях арки возникают характерные максимумы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что в конечном счёте уменьшает время ВПР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Наиболее значимо влияет величина среднего значения дисперсии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з</w:t>
      </w:r>
      <w:r>
        <w:rPr>
          <w:rFonts w:ascii="Times New Roman" w:hAnsi="Times New Roman"/>
        </w:rPr>
        <w:t>ависящая от интеграла магнитного поля в диполях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Для каждого конкретного исследования должна быть решена задача по оптимизации магнитооптики структуры</w:t>
      </w:r>
      <w:r>
        <w:rPr>
          <w:rFonts w:ascii="Times New Roman" w:hAnsi="Times New Roman"/>
        </w:rPr>
        <w:t xml:space="preserve">. </w:t>
      </w:r>
    </w:p>
    <w:p w14:paraId="2753D800" w14:textId="77777777" w:rsidR="001E785F" w:rsidRDefault="003914C0">
      <w:pPr>
        <w:pStyle w:val="1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Заключение</w:t>
      </w:r>
    </w:p>
    <w:p w14:paraId="56924241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Рассмотрены особенности магнитооптической структуры кольца в форме </w:t>
      </w: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</w:rPr>
        <w:t xml:space="preserve">Показана возможность </w:t>
      </w:r>
      <w:r>
        <w:rPr>
          <w:rFonts w:ascii="Times New Roman" w:hAnsi="Times New Roman"/>
        </w:rPr>
        <w:t xml:space="preserve">использования кольца для </w:t>
      </w:r>
      <w:r>
        <w:rPr>
          <w:rFonts w:ascii="Times New Roman" w:hAnsi="Times New Roman"/>
          <w:b/>
          <w:bCs/>
        </w:rPr>
        <w:t>выполнения</w:t>
      </w:r>
      <w:r>
        <w:rPr>
          <w:rFonts w:ascii="Times New Roman" w:hAnsi="Times New Roman"/>
        </w:rPr>
        <w:t xml:space="preserve"> различных физических программ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Для протонного поляризованного пучка предложен метод резонансного поднятия критической энергии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Для накопления ЭДМ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сигнала в структуре с квази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замороженным спином реализована возможность ра</w:t>
      </w:r>
      <w:r>
        <w:rPr>
          <w:rFonts w:ascii="Times New Roman" w:hAnsi="Times New Roman"/>
        </w:rPr>
        <w:t xml:space="preserve">сстановки </w:t>
      </w:r>
      <w:r>
        <w:rPr>
          <w:rFonts w:ascii="Times New Roman" w:hAnsi="Times New Roman"/>
        </w:rPr>
        <w:t>3-</w:t>
      </w:r>
      <w:r>
        <w:rPr>
          <w:rFonts w:ascii="Times New Roman" w:hAnsi="Times New Roman"/>
        </w:rPr>
        <w:t>х независимых семейств секступолей для коррекции равновесного уровня энергии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Для тяжелоионного пучка проведена оптимизация времени внутрипучкового рассеяния</w:t>
      </w:r>
      <w:r>
        <w:rPr>
          <w:rFonts w:ascii="Times New Roman" w:hAnsi="Times New Roman"/>
        </w:rPr>
        <w:t>.</w:t>
      </w:r>
    </w:p>
    <w:p w14:paraId="440491AD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Приведенные возможности применения кольца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а также особые свойства для поляризованных</w:t>
      </w:r>
      <w:r>
        <w:rPr>
          <w:rFonts w:ascii="Times New Roman" w:hAnsi="Times New Roman"/>
        </w:rPr>
        <w:t xml:space="preserve"> пучков делают такую установку уникальной</w:t>
      </w:r>
      <w:r>
        <w:rPr>
          <w:rFonts w:ascii="Times New Roman" w:hAnsi="Times New Roman"/>
        </w:rPr>
        <w:t>.</w:t>
      </w:r>
    </w:p>
    <w:p w14:paraId="7E55806C" w14:textId="77777777" w:rsidR="001E785F" w:rsidRDefault="003914C0">
      <w:pPr>
        <w:pStyle w:val="1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Благодарности</w:t>
      </w:r>
    </w:p>
    <w:p w14:paraId="312CA2A0" w14:textId="77777777" w:rsidR="001E785F" w:rsidRDefault="003914C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Исследование выполнено при поддержке гранта Российского Научного Фонда №</w:t>
      </w:r>
      <w:r>
        <w:rPr>
          <w:rFonts w:ascii="Times New Roman" w:hAnsi="Times New Roman"/>
        </w:rPr>
        <w:t>25-72-30005.</w:t>
      </w:r>
    </w:p>
    <w:p w14:paraId="1867A37A" w14:textId="77777777" w:rsidR="001E785F" w:rsidRDefault="003914C0">
      <w:pPr>
        <w:pStyle w:val="1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Список литературы</w:t>
      </w:r>
    </w:p>
    <w:p w14:paraId="5AF74082" w14:textId="77777777" w:rsidR="001E785F" w:rsidRDefault="001E785F">
      <w:pPr>
        <w:pStyle w:val="BodyA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5A72961D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lastRenderedPageBreak/>
        <w:t>Ya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. S.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Derbenev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 et al. Polarization Preservation and Control in a Figure-8 Ring,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Int.J.Mod.Phys.Conf.Ser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>. 40 (2016) 01, 166009 DOI: 10.1142/S2010194516600909</w:t>
      </w:r>
    </w:p>
    <w:p w14:paraId="78F5BD09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Senichev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Y.V.,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Chechenin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A.N. Theory of </w:t>
      </w:r>
      <w:r>
        <w:rPr>
          <w:rFonts w:ascii="Times New Roman" w:hAnsi="Times New Roman"/>
          <w:kern w:val="0"/>
          <w:sz w:val="24"/>
          <w:szCs w:val="24"/>
          <w:lang w:val="en-US"/>
        </w:rPr>
        <w:t>“</w:t>
      </w:r>
      <w:r>
        <w:rPr>
          <w:rFonts w:ascii="Times New Roman" w:hAnsi="Times New Roman"/>
          <w:kern w:val="0"/>
          <w:sz w:val="24"/>
          <w:szCs w:val="24"/>
          <w:lang w:val="en-US"/>
        </w:rPr>
        <w:t>Resonant</w:t>
      </w: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” </w:t>
      </w: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lattices for synchrotrons with negative momentum compaction factor. J. Exp.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Theor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>. Phys. 105, 988</w:t>
      </w:r>
      <w:r>
        <w:rPr>
          <w:rFonts w:ascii="Times New Roman" w:hAnsi="Times New Roman"/>
          <w:kern w:val="0"/>
          <w:sz w:val="24"/>
          <w:szCs w:val="24"/>
          <w:lang w:val="en-US"/>
        </w:rPr>
        <w:t>–</w:t>
      </w:r>
      <w:r>
        <w:rPr>
          <w:rFonts w:ascii="Times New Roman" w:hAnsi="Times New Roman"/>
          <w:kern w:val="0"/>
          <w:sz w:val="24"/>
          <w:szCs w:val="24"/>
          <w:lang w:val="en-US"/>
        </w:rPr>
        <w:t>997 (2007). DOI: 10.1134/S10</w:t>
      </w:r>
      <w:r>
        <w:rPr>
          <w:rFonts w:ascii="Times New Roman" w:hAnsi="Times New Roman"/>
          <w:kern w:val="0"/>
          <w:sz w:val="24"/>
          <w:szCs w:val="24"/>
          <w:lang w:val="en-US"/>
        </w:rPr>
        <w:t>63776107110118</w:t>
      </w:r>
    </w:p>
    <w:p w14:paraId="0661EEB2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kern w:val="0"/>
          <w:sz w:val="24"/>
          <w:szCs w:val="24"/>
          <w:lang w:val="en-US"/>
        </w:rPr>
        <w:t>Yu.Senichev</w:t>
      </w:r>
      <w:proofErr w:type="spellEnd"/>
      <w:proofErr w:type="gram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 et al., in ICAP2015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Proccedings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Shanghai, 2016, ed. by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C.Kwok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R.W.Volker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T.Chuanxiang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Y.Heping</w:t>
      </w:r>
      <w:proofErr w:type="spellEnd"/>
    </w:p>
    <w:p w14:paraId="760ECFD8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N.</w:t>
      </w:r>
      <w:proofErr w:type="gramStart"/>
      <w:r>
        <w:rPr>
          <w:rFonts w:ascii="Times New Roman" w:hAnsi="Times New Roman"/>
          <w:kern w:val="0"/>
          <w:sz w:val="24"/>
          <w:szCs w:val="24"/>
          <w:lang w:val="en-US"/>
        </w:rPr>
        <w:t>N.Nikolaev</w:t>
      </w:r>
      <w:proofErr w:type="spellEnd"/>
      <w:proofErr w:type="gram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Spin of protons in NICA and PTR storage rings as an axion antenna.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Jetp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 Lett. 115, 639</w:t>
      </w:r>
      <w:r>
        <w:rPr>
          <w:rFonts w:ascii="Times New Roman" w:hAnsi="Times New Roman"/>
          <w:kern w:val="0"/>
          <w:sz w:val="24"/>
          <w:szCs w:val="24"/>
          <w:lang w:val="en-US"/>
        </w:rPr>
        <w:t>–</w:t>
      </w:r>
      <w:r>
        <w:rPr>
          <w:rFonts w:ascii="Times New Roman" w:hAnsi="Times New Roman"/>
          <w:kern w:val="0"/>
          <w:sz w:val="24"/>
          <w:szCs w:val="24"/>
          <w:lang w:val="en-US"/>
        </w:rPr>
        <w:t>643 (2022). DOI: 10.1134/S002</w:t>
      </w:r>
      <w:r>
        <w:rPr>
          <w:rFonts w:ascii="Times New Roman" w:hAnsi="Times New Roman"/>
          <w:kern w:val="0"/>
          <w:sz w:val="24"/>
          <w:szCs w:val="24"/>
          <w:lang w:val="en-US"/>
        </w:rPr>
        <w:t>1364022600653</w:t>
      </w:r>
    </w:p>
    <w:p w14:paraId="31487F9D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V.Bargmann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/>
          <w:kern w:val="0"/>
          <w:sz w:val="24"/>
          <w:szCs w:val="24"/>
          <w:lang w:val="en-US"/>
        </w:rPr>
        <w:t>L.Michel</w:t>
      </w:r>
      <w:proofErr w:type="spellEnd"/>
      <w:proofErr w:type="gram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V.L.Telegdi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>, Precession of the Polarization of Particles Moving in a Homogeneous Electromagnetic Field. Phys. Rev. Lett. 2, 435 (1959).</w:t>
      </w:r>
      <w:r>
        <w:rPr>
          <w:rFonts w:ascii="Times New Roman" w:hAnsi="Times New Roman"/>
          <w:kern w:val="0"/>
          <w:sz w:val="24"/>
          <w:szCs w:val="24"/>
        </w:rPr>
        <w:t xml:space="preserve"> doi:10.1103/PhysRevLett.2.435</w:t>
      </w:r>
    </w:p>
    <w:p w14:paraId="45548479" w14:textId="77777777" w:rsidR="001E785F" w:rsidRDefault="003914C0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>Senichev</w:t>
      </w:r>
      <w:proofErr w:type="spellEnd"/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 xml:space="preserve">, Y.V., </w:t>
      </w:r>
      <w:proofErr w:type="spellStart"/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>Chechenin</w:t>
      </w:r>
      <w:proofErr w:type="spellEnd"/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 xml:space="preserve">, A.N. Construction of </w:t>
      </w:r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>“</w:t>
      </w:r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>resonant</w:t>
      </w:r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 xml:space="preserve">” </w:t>
      </w:r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>magneto-optical lattices with controlled momentum compaction factor.</w:t>
      </w:r>
      <w:r>
        <w:rPr>
          <w:rFonts w:ascii="Times New Roman" w:hAnsi="Times New Roman"/>
          <w:color w:val="222222"/>
          <w:u w:color="222222"/>
          <w:shd w:val="clear" w:color="auto" w:fill="FFFFFF"/>
          <w:lang w:val="en-US"/>
        </w:rPr>
        <w:t> </w:t>
      </w:r>
      <w:r>
        <w:rPr>
          <w:rFonts w:ascii="Times New Roman" w:hAnsi="Times New Roman"/>
          <w:color w:val="222222"/>
          <w:u w:color="222222"/>
          <w:shd w:val="clear" w:color="auto" w:fill="FFFFFF"/>
        </w:rPr>
        <w:t xml:space="preserve">J. </w:t>
      </w:r>
      <w:proofErr w:type="spellStart"/>
      <w:r>
        <w:rPr>
          <w:rFonts w:ascii="Times New Roman" w:hAnsi="Times New Roman"/>
          <w:color w:val="222222"/>
          <w:u w:color="222222"/>
          <w:shd w:val="clear" w:color="auto" w:fill="FFFFFF"/>
        </w:rPr>
        <w:t>Exp</w:t>
      </w:r>
      <w:proofErr w:type="spellEnd"/>
      <w:r>
        <w:rPr>
          <w:rFonts w:ascii="Times New Roman" w:hAnsi="Times New Roman"/>
          <w:color w:val="222222"/>
          <w:u w:color="222222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/>
          <w:color w:val="222222"/>
          <w:u w:color="222222"/>
          <w:shd w:val="clear" w:color="auto" w:fill="FFFFFF"/>
        </w:rPr>
        <w:t>Theor</w:t>
      </w:r>
      <w:proofErr w:type="spellEnd"/>
      <w:r>
        <w:rPr>
          <w:rFonts w:ascii="Times New Roman" w:hAnsi="Times New Roman"/>
          <w:color w:val="222222"/>
          <w:u w:color="222222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/>
          <w:color w:val="222222"/>
          <w:u w:color="222222"/>
          <w:shd w:val="clear" w:color="auto" w:fill="FFFFFF"/>
        </w:rPr>
        <w:t>Phys</w:t>
      </w:r>
      <w:proofErr w:type="spellEnd"/>
      <w:r>
        <w:rPr>
          <w:rFonts w:ascii="Times New Roman" w:hAnsi="Times New Roman"/>
          <w:i/>
          <w:iCs/>
          <w:color w:val="222222"/>
          <w:u w:color="222222"/>
          <w:shd w:val="clear" w:color="auto" w:fill="FFFFFF"/>
        </w:rPr>
        <w:t>.</w:t>
      </w:r>
      <w:r>
        <w:rPr>
          <w:rFonts w:ascii="Times New Roman" w:hAnsi="Times New Roman"/>
          <w:color w:val="222222"/>
          <w:u w:color="222222"/>
          <w:shd w:val="clear" w:color="auto" w:fill="FFFFFF"/>
        </w:rPr>
        <w:t> </w:t>
      </w:r>
      <w:r>
        <w:rPr>
          <w:rFonts w:ascii="Times New Roman" w:hAnsi="Times New Roman"/>
          <w:color w:val="222222"/>
          <w:u w:color="222222"/>
          <w:shd w:val="clear" w:color="auto" w:fill="FFFFFF"/>
        </w:rPr>
        <w:t>105, 1141</w:t>
      </w:r>
      <w:r>
        <w:rPr>
          <w:rFonts w:ascii="Times New Roman" w:hAnsi="Times New Roman"/>
          <w:color w:val="222222"/>
          <w:u w:color="222222"/>
          <w:shd w:val="clear" w:color="auto" w:fill="FFFFFF"/>
        </w:rPr>
        <w:t>–</w:t>
      </w:r>
      <w:r>
        <w:rPr>
          <w:rFonts w:ascii="Times New Roman" w:hAnsi="Times New Roman"/>
          <w:color w:val="222222"/>
          <w:u w:color="222222"/>
          <w:shd w:val="clear" w:color="auto" w:fill="FFFFFF"/>
        </w:rPr>
        <w:t xml:space="preserve">1156 (2007). </w:t>
      </w:r>
      <w:hyperlink r:id="rId14" w:history="1">
        <w:r>
          <w:rPr>
            <w:rStyle w:val="Hyperlink0"/>
            <w:rFonts w:ascii="Times New Roman" w:hAnsi="Times New Roman"/>
          </w:rPr>
          <w:t>https://doi.org/10.1134/S1063776107120060</w:t>
        </w:r>
      </w:hyperlink>
    </w:p>
    <w:p w14:paraId="566AF903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>А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А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Мельников</w:t>
      </w:r>
      <w:r>
        <w:rPr>
          <w:rFonts w:ascii="Times New Roman" w:hAnsi="Times New Roman"/>
          <w:kern w:val="0"/>
          <w:sz w:val="24"/>
          <w:szCs w:val="24"/>
        </w:rPr>
        <w:t xml:space="preserve">, </w:t>
      </w:r>
      <w:r>
        <w:rPr>
          <w:rFonts w:ascii="Times New Roman" w:hAnsi="Times New Roman"/>
          <w:kern w:val="0"/>
          <w:sz w:val="24"/>
          <w:szCs w:val="24"/>
        </w:rPr>
        <w:t>Ю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В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Сеничев</w:t>
      </w:r>
      <w:r>
        <w:rPr>
          <w:rFonts w:ascii="Times New Roman" w:hAnsi="Times New Roman"/>
          <w:kern w:val="0"/>
          <w:sz w:val="24"/>
          <w:szCs w:val="24"/>
        </w:rPr>
        <w:t xml:space="preserve">, </w:t>
      </w:r>
      <w:r>
        <w:rPr>
          <w:rFonts w:ascii="Times New Roman" w:hAnsi="Times New Roman"/>
          <w:kern w:val="0"/>
          <w:sz w:val="24"/>
          <w:szCs w:val="24"/>
        </w:rPr>
        <w:t>А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Е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Аксентьев</w:t>
      </w:r>
      <w:r>
        <w:rPr>
          <w:rFonts w:ascii="Times New Roman" w:hAnsi="Times New Roman"/>
          <w:kern w:val="0"/>
          <w:sz w:val="24"/>
          <w:szCs w:val="24"/>
        </w:rPr>
        <w:t xml:space="preserve">, </w:t>
      </w:r>
      <w:r>
        <w:rPr>
          <w:rFonts w:ascii="Times New Roman" w:hAnsi="Times New Roman"/>
          <w:kern w:val="0"/>
          <w:sz w:val="24"/>
          <w:szCs w:val="24"/>
        </w:rPr>
        <w:t>С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Д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Колокольчиков</w:t>
      </w:r>
      <w:r>
        <w:rPr>
          <w:rFonts w:ascii="Times New Roman" w:hAnsi="Times New Roman"/>
          <w:kern w:val="0"/>
          <w:sz w:val="24"/>
          <w:szCs w:val="24"/>
        </w:rPr>
        <w:t xml:space="preserve">, </w:t>
      </w:r>
      <w:r>
        <w:rPr>
          <w:rFonts w:ascii="Times New Roman" w:hAnsi="Times New Roman"/>
          <w:kern w:val="0"/>
          <w:sz w:val="24"/>
          <w:szCs w:val="24"/>
        </w:rPr>
        <w:t>Природа спиновой декогеренции поляризованного пучка легких ядер в накопительном кольце для поиска ЭДМ</w:t>
      </w:r>
      <w:r>
        <w:rPr>
          <w:rFonts w:ascii="Times New Roman" w:hAnsi="Times New Roman"/>
          <w:kern w:val="0"/>
          <w:sz w:val="24"/>
          <w:szCs w:val="24"/>
        </w:rPr>
        <w:t xml:space="preserve">, </w:t>
      </w:r>
      <w:r>
        <w:rPr>
          <w:rFonts w:ascii="Times New Roman" w:hAnsi="Times New Roman"/>
          <w:kern w:val="0"/>
          <w:sz w:val="24"/>
          <w:szCs w:val="24"/>
        </w:rPr>
        <w:t xml:space="preserve">Том </w:t>
      </w:r>
      <w:r>
        <w:rPr>
          <w:rFonts w:ascii="Times New Roman" w:hAnsi="Times New Roman"/>
          <w:kern w:val="0"/>
          <w:sz w:val="24"/>
          <w:szCs w:val="24"/>
        </w:rPr>
        <w:t xml:space="preserve">118, </w:t>
      </w:r>
      <w:r>
        <w:rPr>
          <w:rFonts w:ascii="Times New Roman" w:hAnsi="Times New Roman"/>
          <w:kern w:val="0"/>
          <w:sz w:val="24"/>
          <w:szCs w:val="24"/>
        </w:rPr>
        <w:t xml:space="preserve">№ </w:t>
      </w:r>
      <w:r>
        <w:rPr>
          <w:rFonts w:ascii="Times New Roman" w:hAnsi="Times New Roman"/>
          <w:kern w:val="0"/>
          <w:sz w:val="24"/>
          <w:szCs w:val="24"/>
        </w:rPr>
        <w:t xml:space="preserve">9-10 (11), </w:t>
      </w:r>
      <w:r>
        <w:rPr>
          <w:rFonts w:ascii="Times New Roman" w:hAnsi="Times New Roman"/>
          <w:kern w:val="0"/>
          <w:sz w:val="24"/>
          <w:szCs w:val="24"/>
        </w:rPr>
        <w:t>стр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ascii="Times New Roman" w:hAnsi="Times New Roman"/>
          <w:kern w:val="0"/>
          <w:sz w:val="24"/>
          <w:szCs w:val="24"/>
        </w:rPr>
        <w:t>713-720 (2023). DOI: 10.31857/S1234567823220020</w:t>
      </w:r>
    </w:p>
    <w:p w14:paraId="60DFC6DF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R. Suleiman,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Ya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Derbenev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>, M. Grau, V. Morozov, Particle accelerator spin-transparent storage rings for beyond state-of-the-art science, DOI:</w:t>
      </w:r>
      <w:hyperlink r:id="rId15" w:history="1">
        <w:r>
          <w:rPr>
            <w:rStyle w:val="Hyperlink1"/>
          </w:rPr>
          <w:t>10.18429/</w:t>
        </w:r>
        <w:r>
          <w:rPr>
            <w:rStyle w:val="Hyperlink1"/>
          </w:rPr>
          <w:t>JACoW-IPAC2024-WEAN2</w:t>
        </w:r>
      </w:hyperlink>
    </w:p>
    <w:p w14:paraId="03DD509A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J.D.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Bjorken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S.K.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Mtingwa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kern w:val="0"/>
          <w:sz w:val="24"/>
          <w:szCs w:val="24"/>
          <w:lang w:val="en-US"/>
        </w:rPr>
        <w:t>“</w:t>
      </w:r>
      <w:r>
        <w:rPr>
          <w:rFonts w:ascii="Times New Roman" w:hAnsi="Times New Roman"/>
          <w:kern w:val="0"/>
          <w:sz w:val="24"/>
          <w:szCs w:val="24"/>
          <w:lang w:val="en-US"/>
        </w:rPr>
        <w:t>Intrabeam Scattering,</w:t>
      </w: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” </w:t>
      </w:r>
      <w:r>
        <w:rPr>
          <w:rFonts w:ascii="Times New Roman" w:hAnsi="Times New Roman"/>
          <w:kern w:val="0"/>
          <w:sz w:val="24"/>
          <w:szCs w:val="24"/>
          <w:lang w:val="en-US"/>
        </w:rPr>
        <w:t>Part. Acc. Vol. 13, pp. 115</w:t>
      </w:r>
      <w:r>
        <w:rPr>
          <w:rFonts w:ascii="Times New Roman" w:hAnsi="Times New Roman"/>
          <w:kern w:val="0"/>
          <w:sz w:val="24"/>
          <w:szCs w:val="24"/>
          <w:lang w:val="en-US"/>
        </w:rPr>
        <w:t>–</w:t>
      </w:r>
      <w:r>
        <w:rPr>
          <w:rFonts w:ascii="Times New Roman" w:hAnsi="Times New Roman"/>
          <w:kern w:val="0"/>
          <w:sz w:val="24"/>
          <w:szCs w:val="24"/>
          <w:lang w:val="en-US"/>
        </w:rPr>
        <w:t>143 (1983).</w:t>
      </w:r>
    </w:p>
    <w:p w14:paraId="5C69D386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kern w:val="0"/>
          <w:sz w:val="24"/>
          <w:szCs w:val="24"/>
          <w:lang w:val="en-US"/>
        </w:rPr>
        <w:t>F. Antoniou, F. Zimmermann, Revision of Intrabeam Scattering with Non-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Ultrarelativistic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 Corrections and Vertical Dispersion for MAD-X, </w:t>
      </w: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№ </w:t>
      </w:r>
      <w:r>
        <w:rPr>
          <w:rFonts w:ascii="Times New Roman" w:hAnsi="Times New Roman"/>
          <w:kern w:val="0"/>
          <w:sz w:val="24"/>
          <w:szCs w:val="24"/>
          <w:lang w:val="en-US"/>
        </w:rPr>
        <w:t>CERN-ATS-2012-066</w:t>
      </w:r>
    </w:p>
    <w:p w14:paraId="62E4A2A1" w14:textId="77777777" w:rsidR="001E785F" w:rsidRDefault="003914C0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B. </w:t>
      </w:r>
      <w:proofErr w:type="spellStart"/>
      <w:r>
        <w:rPr>
          <w:rFonts w:ascii="Times New Roman" w:hAnsi="Times New Roman"/>
          <w:lang w:val="en-US"/>
        </w:rPr>
        <w:t>Autin</w:t>
      </w:r>
      <w:proofErr w:type="spellEnd"/>
      <w:r>
        <w:rPr>
          <w:rFonts w:ascii="Times New Roman" w:hAnsi="Times New Roman"/>
          <w:lang w:val="en-US"/>
        </w:rPr>
        <w:t xml:space="preserve">, Dispersion Suppression with Missing Magnets in a FODO Structure Application to the CERN </w:t>
      </w:r>
      <w:r>
        <w:rPr>
          <w:rFonts w:ascii="Times New Roman" w:hAnsi="Times New Roman"/>
          <w:lang w:val="en-US"/>
        </w:rPr>
        <w:t xml:space="preserve">Antiproton Accumulator, IEEE </w:t>
      </w:r>
      <w:proofErr w:type="spellStart"/>
      <w:r>
        <w:rPr>
          <w:rFonts w:ascii="Times New Roman" w:hAnsi="Times New Roman"/>
          <w:lang w:val="en-US"/>
        </w:rPr>
        <w:t>Trans.Nucl.Sci</w:t>
      </w:r>
      <w:proofErr w:type="spellEnd"/>
      <w:r>
        <w:rPr>
          <w:rFonts w:ascii="Times New Roman" w:hAnsi="Times New Roman"/>
          <w:lang w:val="en-US"/>
        </w:rPr>
        <w:t>. 26 (1979) 3493-3495, DOI: 10.1109/TNS.1979.4330077</w:t>
      </w:r>
    </w:p>
    <w:p w14:paraId="783FEA5A" w14:textId="77777777" w:rsidR="001E785F" w:rsidRDefault="003914C0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kern w:val="0"/>
          <w:sz w:val="24"/>
          <w:szCs w:val="24"/>
          <w:lang w:val="en-US"/>
        </w:rPr>
        <w:t xml:space="preserve">S.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Kolokolchikov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Yu.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Senichev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A.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Aksentev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 xml:space="preserve">, A. Melnikov, Features of dual-purpose structure for heavy ion and light particles, </w:t>
      </w:r>
      <w:proofErr w:type="spellStart"/>
      <w:r>
        <w:rPr>
          <w:rFonts w:ascii="Times New Roman" w:hAnsi="Times New Roman"/>
          <w:kern w:val="0"/>
          <w:sz w:val="24"/>
          <w:szCs w:val="24"/>
          <w:lang w:val="en-US"/>
        </w:rPr>
        <w:t>Nuc</w:t>
      </w:r>
      <w:proofErr w:type="spellEnd"/>
      <w:r>
        <w:rPr>
          <w:rFonts w:ascii="Times New Roman" w:hAnsi="Times New Roman"/>
          <w:kern w:val="0"/>
          <w:sz w:val="24"/>
          <w:szCs w:val="24"/>
          <w:lang w:val="en-US"/>
        </w:rPr>
        <w:t>. Sci. and Tech., DOI: 10.100</w:t>
      </w:r>
      <w:r>
        <w:rPr>
          <w:rFonts w:ascii="Times New Roman" w:hAnsi="Times New Roman"/>
          <w:kern w:val="0"/>
          <w:sz w:val="24"/>
          <w:szCs w:val="24"/>
          <w:lang w:val="en-US"/>
        </w:rPr>
        <w:t>7/s41365-025-01791-4</w:t>
      </w:r>
    </w:p>
    <w:sectPr w:rsidR="001E785F">
      <w:headerReference w:type="default" r:id="rId16"/>
      <w:footerReference w:type="default" r:id="rId17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3DB72" w14:textId="77777777" w:rsidR="003914C0" w:rsidRDefault="003914C0">
      <w:pPr>
        <w:spacing w:after="0" w:line="240" w:lineRule="auto"/>
      </w:pPr>
      <w:r>
        <w:separator/>
      </w:r>
    </w:p>
  </w:endnote>
  <w:endnote w:type="continuationSeparator" w:id="0">
    <w:p w14:paraId="029D121D" w14:textId="77777777" w:rsidR="003914C0" w:rsidRDefault="00391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D1E99" w14:textId="77777777" w:rsidR="001E785F" w:rsidRDefault="001E785F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470DB" w14:textId="77777777" w:rsidR="003914C0" w:rsidRDefault="003914C0">
      <w:pPr>
        <w:spacing w:after="0" w:line="240" w:lineRule="auto"/>
      </w:pPr>
      <w:r>
        <w:separator/>
      </w:r>
    </w:p>
  </w:footnote>
  <w:footnote w:type="continuationSeparator" w:id="0">
    <w:p w14:paraId="57BCB9C3" w14:textId="77777777" w:rsidR="003914C0" w:rsidRDefault="00391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BB72A" w14:textId="77777777" w:rsidR="001E785F" w:rsidRDefault="001E785F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2328B"/>
    <w:multiLevelType w:val="hybridMultilevel"/>
    <w:tmpl w:val="87FC4FE6"/>
    <w:styleLink w:val="ImportedStyle1"/>
    <w:lvl w:ilvl="0" w:tplc="C0ECB67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86A4F6">
      <w:start w:val="1"/>
      <w:numFmt w:val="low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FCEDCE">
      <w:start w:val="1"/>
      <w:numFmt w:val="lowerRoman"/>
      <w:lvlText w:val="%3."/>
      <w:lvlJc w:val="left"/>
      <w:pPr>
        <w:ind w:left="14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86CF2E">
      <w:start w:val="1"/>
      <w:numFmt w:val="decimal"/>
      <w:lvlText w:val="%4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1ECD0C">
      <w:start w:val="1"/>
      <w:numFmt w:val="lowerLetter"/>
      <w:lvlText w:val="%5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75E92B4">
      <w:start w:val="1"/>
      <w:numFmt w:val="lowerRoman"/>
      <w:lvlText w:val="%6."/>
      <w:lvlJc w:val="left"/>
      <w:pPr>
        <w:ind w:left="36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B326D78">
      <w:start w:val="1"/>
      <w:numFmt w:val="decimal"/>
      <w:lvlText w:val="%7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D64E92">
      <w:start w:val="1"/>
      <w:numFmt w:val="lowerLetter"/>
      <w:lvlText w:val="%8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7DC168A">
      <w:start w:val="1"/>
      <w:numFmt w:val="lowerRoman"/>
      <w:lvlText w:val="%9."/>
      <w:lvlJc w:val="left"/>
      <w:pPr>
        <w:ind w:left="57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E0C754C"/>
    <w:multiLevelType w:val="hybridMultilevel"/>
    <w:tmpl w:val="87FC4FE6"/>
    <w:numStyleLink w:val="ImportedStyle1"/>
  </w:abstractNum>
  <w:num w:numId="1">
    <w:abstractNumId w:val="0"/>
  </w:num>
  <w:num w:numId="2">
    <w:abstractNumId w:val="1"/>
  </w:num>
  <w:num w:numId="3">
    <w:abstractNumId w:val="1"/>
    <w:lvlOverride w:ilvl="0">
      <w:lvl w:ilvl="0" w:tplc="FCA62218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60BEEA3A">
        <w:start w:val="1"/>
        <w:numFmt w:val="low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7A14DF54">
        <w:start w:val="1"/>
        <w:numFmt w:val="lowerRoman"/>
        <w:lvlText w:val="%3."/>
        <w:lvlJc w:val="left"/>
        <w:pPr>
          <w:ind w:left="144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4C248A0E">
        <w:start w:val="1"/>
        <w:numFmt w:val="decimal"/>
        <w:lvlText w:val="%4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BCAE0CB4">
        <w:start w:val="1"/>
        <w:numFmt w:val="lowerLetter"/>
        <w:lvlText w:val="%5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9F6208FA">
        <w:start w:val="1"/>
        <w:numFmt w:val="lowerRoman"/>
        <w:lvlText w:val="%6."/>
        <w:lvlJc w:val="left"/>
        <w:pPr>
          <w:ind w:left="360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B686AF18">
        <w:start w:val="1"/>
        <w:numFmt w:val="decimal"/>
        <w:lvlText w:val="%7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E06AC9B4">
        <w:start w:val="1"/>
        <w:numFmt w:val="lowerLetter"/>
        <w:lvlText w:val="%8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B1F45D58">
        <w:start w:val="1"/>
        <w:numFmt w:val="lowerRoman"/>
        <w:lvlText w:val="%9."/>
        <w:lvlJc w:val="left"/>
        <w:pPr>
          <w:ind w:left="576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5F"/>
    <w:rsid w:val="001E785F"/>
    <w:rsid w:val="002B7D9D"/>
    <w:rsid w:val="003914C0"/>
    <w:rsid w:val="008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DA37E"/>
  <w15:docId w15:val="{84114CAB-C633-4FCF-A82B-BC950D48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paragraph" w:styleId="1">
    <w:name w:val="heading 1"/>
    <w:next w:val="a"/>
    <w:uiPriority w:val="9"/>
    <w:qFormat/>
    <w:pPr>
      <w:keepNext/>
      <w:keepLines/>
      <w:spacing w:before="240" w:line="256" w:lineRule="auto"/>
      <w:outlineLvl w:val="0"/>
    </w:pPr>
    <w:rPr>
      <w:rFonts w:ascii="Calibri Light" w:hAnsi="Calibri Light" w:cs="Arial Unicode MS"/>
      <w:color w:val="2F5496"/>
      <w:kern w:val="2"/>
      <w:sz w:val="32"/>
      <w:szCs w:val="32"/>
      <w:u w:color="2F549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caption"/>
    <w:next w:val="a"/>
    <w:pPr>
      <w:spacing w:after="200"/>
    </w:pPr>
    <w:rPr>
      <w:rFonts w:ascii="Calibri" w:hAnsi="Calibri" w:cs="Arial Unicode MS"/>
      <w:i/>
      <w:iCs/>
      <w:color w:val="44546A"/>
      <w:kern w:val="2"/>
      <w:sz w:val="18"/>
      <w:szCs w:val="18"/>
      <w:u w:color="44546A"/>
    </w:rPr>
  </w:style>
  <w:style w:type="paragraph" w:customStyle="1" w:styleId="BodyA">
    <w:name w:val="Body A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5">
    <w:name w:val="List Paragraph"/>
    <w:pPr>
      <w:spacing w:after="160" w:line="256" w:lineRule="auto"/>
      <w:ind w:left="720"/>
    </w:pPr>
    <w:rPr>
      <w:rFonts w:ascii="Calibri" w:hAnsi="Calibri" w:cs="Arial Unicode MS"/>
      <w:color w:val="000000"/>
      <w:kern w:val="2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sz w:val="22"/>
      <w:szCs w:val="22"/>
      <w:u w:val="single" w:color="0563C1"/>
      <w:shd w:val="clear" w:color="auto" w:fill="FFFFFF"/>
      <w:lang w:val="ru-RU"/>
    </w:rPr>
  </w:style>
  <w:style w:type="character" w:customStyle="1" w:styleId="Hyperlink1">
    <w:name w:val="Hyperlink.1"/>
    <w:basedOn w:val="Link"/>
    <w:rPr>
      <w:rFonts w:ascii="Segoe UI" w:eastAsia="Segoe UI" w:hAnsi="Segoe UI" w:cs="Segoe UI"/>
      <w:outline w:val="0"/>
      <w:color w:val="0050B3"/>
      <w:sz w:val="21"/>
      <w:szCs w:val="21"/>
      <w:u w:val="single" w:color="0050B3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i.org/10.18429/JACoW-IPAC2024-WEAN2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i.org/10.1134/S1063776107120060" TargetMode="Externa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2325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 Колокольчиков</cp:lastModifiedBy>
  <cp:revision>2</cp:revision>
  <dcterms:created xsi:type="dcterms:W3CDTF">2025-09-01T09:49:00Z</dcterms:created>
  <dcterms:modified xsi:type="dcterms:W3CDTF">2025-09-01T10:48:00Z</dcterms:modified>
</cp:coreProperties>
</file>