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59D2" w:rsidRDefault="003C7D8C" w:rsidP="003C7D8C">
      <w:pPr>
        <w:pStyle w:val="Default"/>
        <w:jc w:val="center"/>
        <w:rPr>
          <w:sz w:val="22"/>
          <w:szCs w:val="20"/>
        </w:rPr>
      </w:pPr>
      <w:r>
        <w:rPr>
          <w:sz w:val="22"/>
          <w:szCs w:val="20"/>
        </w:rPr>
        <w:t xml:space="preserve"> </w:t>
      </w:r>
      <w:r w:rsidR="002E59D2">
        <w:rPr>
          <w:sz w:val="22"/>
          <w:szCs w:val="20"/>
        </w:rPr>
        <w:t>С</w:t>
      </w:r>
      <w:r w:rsidR="002E59D2" w:rsidRPr="000E65F2">
        <w:rPr>
          <w:sz w:val="22"/>
          <w:szCs w:val="20"/>
        </w:rPr>
        <w:t>.</w:t>
      </w:r>
      <w:r w:rsidR="002E59D2">
        <w:rPr>
          <w:sz w:val="22"/>
          <w:szCs w:val="20"/>
        </w:rPr>
        <w:t>Д</w:t>
      </w:r>
      <w:r w:rsidR="002E59D2" w:rsidRPr="000E65F2">
        <w:rPr>
          <w:sz w:val="22"/>
          <w:szCs w:val="20"/>
        </w:rPr>
        <w:t>.</w:t>
      </w:r>
      <w:r w:rsidR="002E59D2" w:rsidRPr="002E59D2">
        <w:rPr>
          <w:sz w:val="22"/>
          <w:szCs w:val="20"/>
        </w:rPr>
        <w:t xml:space="preserve"> </w:t>
      </w:r>
      <w:r w:rsidR="002E59D2">
        <w:rPr>
          <w:sz w:val="22"/>
          <w:szCs w:val="20"/>
        </w:rPr>
        <w:t>КОЛОКОЛЬЧИКОВ</w:t>
      </w:r>
      <w:r w:rsidR="002E59D2" w:rsidRPr="000E65F2">
        <w:rPr>
          <w:sz w:val="22"/>
          <w:szCs w:val="20"/>
        </w:rPr>
        <w:t xml:space="preserve">, </w:t>
      </w:r>
      <w:r w:rsidR="002E59D2">
        <w:rPr>
          <w:sz w:val="22"/>
          <w:szCs w:val="20"/>
        </w:rPr>
        <w:t>Ю.В</w:t>
      </w:r>
      <w:r w:rsidR="002E59D2" w:rsidRPr="000E65F2">
        <w:rPr>
          <w:sz w:val="22"/>
          <w:szCs w:val="20"/>
        </w:rPr>
        <w:t xml:space="preserve">. </w:t>
      </w:r>
      <w:r w:rsidR="002E59D2">
        <w:rPr>
          <w:sz w:val="22"/>
          <w:szCs w:val="20"/>
        </w:rPr>
        <w:t>СЕНИЧЕВ</w:t>
      </w:r>
    </w:p>
    <w:p w:rsidR="002E59D2" w:rsidRPr="002E59D2" w:rsidRDefault="002E59D2" w:rsidP="003C7D8C">
      <w:pPr>
        <w:pStyle w:val="Default"/>
        <w:jc w:val="center"/>
        <w:rPr>
          <w:sz w:val="22"/>
          <w:szCs w:val="20"/>
        </w:rPr>
      </w:pPr>
      <w:r>
        <w:rPr>
          <w:bCs/>
          <w:i/>
          <w:color w:val="222222"/>
          <w:sz w:val="18"/>
          <w:szCs w:val="20"/>
          <w:shd w:val="clear" w:color="auto" w:fill="FFFFFF"/>
        </w:rPr>
        <w:t>Институт</w:t>
      </w:r>
      <w:r w:rsidRPr="000E65F2">
        <w:rPr>
          <w:bCs/>
          <w:i/>
          <w:color w:val="222222"/>
          <w:sz w:val="18"/>
          <w:szCs w:val="20"/>
          <w:shd w:val="clear" w:color="auto" w:fill="FFFFFF"/>
        </w:rPr>
        <w:t xml:space="preserve"> </w:t>
      </w:r>
      <w:r>
        <w:rPr>
          <w:bCs/>
          <w:i/>
          <w:color w:val="222222"/>
          <w:sz w:val="18"/>
          <w:szCs w:val="20"/>
          <w:shd w:val="clear" w:color="auto" w:fill="FFFFFF"/>
        </w:rPr>
        <w:t>ядерных</w:t>
      </w:r>
      <w:r w:rsidRPr="000E65F2">
        <w:rPr>
          <w:bCs/>
          <w:i/>
          <w:color w:val="222222"/>
          <w:sz w:val="18"/>
          <w:szCs w:val="20"/>
          <w:shd w:val="clear" w:color="auto" w:fill="FFFFFF"/>
        </w:rPr>
        <w:t xml:space="preserve"> </w:t>
      </w:r>
      <w:r>
        <w:rPr>
          <w:bCs/>
          <w:i/>
          <w:color w:val="222222"/>
          <w:sz w:val="18"/>
          <w:szCs w:val="20"/>
          <w:shd w:val="clear" w:color="auto" w:fill="FFFFFF"/>
        </w:rPr>
        <w:t>исследований</w:t>
      </w:r>
      <w:r w:rsidRPr="000E65F2">
        <w:rPr>
          <w:bCs/>
          <w:i/>
          <w:color w:val="222222"/>
          <w:sz w:val="18"/>
          <w:szCs w:val="20"/>
          <w:shd w:val="clear" w:color="auto" w:fill="FFFFFF"/>
        </w:rPr>
        <w:t xml:space="preserve"> </w:t>
      </w:r>
      <w:r>
        <w:rPr>
          <w:bCs/>
          <w:i/>
          <w:color w:val="222222"/>
          <w:sz w:val="18"/>
          <w:szCs w:val="20"/>
          <w:shd w:val="clear" w:color="auto" w:fill="FFFFFF"/>
        </w:rPr>
        <w:t>РАН</w:t>
      </w:r>
      <w:r w:rsidRPr="000E65F2">
        <w:rPr>
          <w:bCs/>
          <w:i/>
          <w:color w:val="222222"/>
          <w:sz w:val="18"/>
          <w:szCs w:val="20"/>
          <w:shd w:val="clear" w:color="auto" w:fill="FFFFFF"/>
        </w:rPr>
        <w:t>, Москва, Россия</w:t>
      </w:r>
    </w:p>
    <w:p w:rsidR="003C7D8C" w:rsidRDefault="002E59D2" w:rsidP="003C7D8C">
      <w:pPr>
        <w:spacing w:line="240" w:lineRule="auto"/>
        <w:jc w:val="center"/>
        <w:rPr>
          <w:rFonts w:ascii="Times New Roman" w:hAnsi="Times New Roman" w:cs="Times New Roman"/>
          <w:bCs/>
          <w:i/>
          <w:color w:val="222222"/>
          <w:sz w:val="18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i/>
          <w:color w:val="222222"/>
          <w:sz w:val="18"/>
          <w:szCs w:val="20"/>
          <w:shd w:val="clear" w:color="auto" w:fill="FFFFFF"/>
        </w:rPr>
        <w:t>Московский Физико-Технический Институт</w:t>
      </w:r>
      <w:r w:rsidRPr="002E59D2">
        <w:rPr>
          <w:rFonts w:ascii="Times New Roman" w:hAnsi="Times New Roman" w:cs="Times New Roman"/>
          <w:bCs/>
          <w:i/>
          <w:color w:val="222222"/>
          <w:sz w:val="18"/>
          <w:szCs w:val="20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i/>
          <w:color w:val="222222"/>
          <w:sz w:val="18"/>
          <w:szCs w:val="20"/>
          <w:shd w:val="clear" w:color="auto" w:fill="FFFFFF"/>
        </w:rPr>
        <w:t>Долгопрудный</w:t>
      </w:r>
      <w:r w:rsidRPr="002E59D2">
        <w:rPr>
          <w:rFonts w:ascii="Times New Roman" w:hAnsi="Times New Roman" w:cs="Times New Roman"/>
          <w:bCs/>
          <w:i/>
          <w:color w:val="222222"/>
          <w:sz w:val="18"/>
          <w:szCs w:val="20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i/>
          <w:color w:val="222222"/>
          <w:sz w:val="18"/>
          <w:szCs w:val="20"/>
          <w:shd w:val="clear" w:color="auto" w:fill="FFFFFF"/>
        </w:rPr>
        <w:t>Россия</w:t>
      </w:r>
    </w:p>
    <w:p w:rsidR="00F0656F" w:rsidRDefault="006F2A0F" w:rsidP="00F0656F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F2A0F">
        <w:rPr>
          <w:rFonts w:ascii="Times New Roman" w:hAnsi="Times New Roman"/>
          <w:b/>
          <w:bCs/>
          <w:sz w:val="24"/>
          <w:szCs w:val="24"/>
        </w:rPr>
        <w:t>МАГНИТООПТИЧЕСКАЯ СТРУКТУРА КОЛЛАЙДЕРА NICA С ВЫСОКОЙ КРИТИЧЕСКОЙ ЭНЕРГИЕЙ</w:t>
      </w:r>
      <w:r w:rsidR="00F0656F" w:rsidRPr="00F0656F">
        <w:rPr>
          <w:rFonts w:ascii="Times New Roman" w:hAnsi="Times New Roman"/>
          <w:b/>
          <w:bCs/>
          <w:sz w:val="24"/>
          <w:szCs w:val="24"/>
        </w:rPr>
        <w:t>.</w:t>
      </w:r>
    </w:p>
    <w:p w:rsidR="002E59D2" w:rsidRPr="00C459CA" w:rsidRDefault="002E59D2" w:rsidP="000C747F">
      <w:pPr>
        <w:spacing w:line="240" w:lineRule="auto"/>
        <w:ind w:firstLine="708"/>
        <w:jc w:val="both"/>
        <w:rPr>
          <w:rFonts w:ascii="Times New Roman" w:hAnsi="Times New Roman" w:cs="Times New Roman"/>
          <w:bCs/>
          <w:i/>
          <w:color w:val="222222"/>
          <w:sz w:val="18"/>
          <w:szCs w:val="20"/>
          <w:shd w:val="clear" w:color="auto" w:fill="FFFFFF"/>
        </w:rPr>
      </w:pPr>
      <w:r>
        <w:rPr>
          <w:rFonts w:ascii="Times New Roman" w:hAnsi="Times New Roman"/>
          <w:sz w:val="18"/>
          <w:szCs w:val="24"/>
        </w:rPr>
        <w:t>Исследован</w:t>
      </w:r>
      <w:r w:rsidR="0044202E">
        <w:rPr>
          <w:rFonts w:ascii="Times New Roman" w:hAnsi="Times New Roman"/>
          <w:sz w:val="18"/>
          <w:szCs w:val="24"/>
        </w:rPr>
        <w:t xml:space="preserve">ы способы повышения критической энергии для протонной опции коллайдера </w:t>
      </w:r>
      <w:r w:rsidR="0044202E">
        <w:rPr>
          <w:rFonts w:ascii="Times New Roman" w:hAnsi="Times New Roman"/>
          <w:sz w:val="18"/>
          <w:szCs w:val="24"/>
          <w:lang w:val="en-US"/>
        </w:rPr>
        <w:t>NICA</w:t>
      </w:r>
      <w:r w:rsidR="0044202E">
        <w:rPr>
          <w:rFonts w:ascii="Times New Roman" w:hAnsi="Times New Roman"/>
          <w:sz w:val="18"/>
          <w:szCs w:val="24"/>
        </w:rPr>
        <w:t>. Применен метод суперпериодической модуляции градиентов квадруполей</w:t>
      </w:r>
      <w:r w:rsidR="0044202E" w:rsidRPr="0044202E">
        <w:rPr>
          <w:rFonts w:ascii="Times New Roman" w:hAnsi="Times New Roman"/>
          <w:sz w:val="18"/>
          <w:szCs w:val="24"/>
        </w:rPr>
        <w:t xml:space="preserve">. </w:t>
      </w:r>
      <w:r w:rsidR="0044202E">
        <w:rPr>
          <w:rFonts w:ascii="Times New Roman" w:hAnsi="Times New Roman"/>
          <w:sz w:val="18"/>
          <w:szCs w:val="24"/>
        </w:rPr>
        <w:t xml:space="preserve">Осуществлен выбор секступолей для подавления натуральной хроматичности и компенсации секступольной компоненты. Приведены параметры </w:t>
      </w:r>
      <w:proofErr w:type="spellStart"/>
      <w:r w:rsidR="0044202E">
        <w:rPr>
          <w:rFonts w:ascii="Times New Roman" w:hAnsi="Times New Roman"/>
          <w:sz w:val="18"/>
          <w:szCs w:val="24"/>
        </w:rPr>
        <w:t>Твисса</w:t>
      </w:r>
      <w:proofErr w:type="spellEnd"/>
      <w:r w:rsidR="0044202E">
        <w:rPr>
          <w:rFonts w:ascii="Times New Roman" w:hAnsi="Times New Roman"/>
          <w:sz w:val="18"/>
          <w:szCs w:val="24"/>
        </w:rPr>
        <w:t xml:space="preserve"> для предложенных структур, а также исследованы динамическ</w:t>
      </w:r>
      <w:r w:rsidR="000C747F">
        <w:rPr>
          <w:rFonts w:ascii="Times New Roman" w:hAnsi="Times New Roman"/>
          <w:sz w:val="18"/>
          <w:szCs w:val="24"/>
        </w:rPr>
        <w:t>ие</w:t>
      </w:r>
      <w:r w:rsidR="0044202E">
        <w:rPr>
          <w:rFonts w:ascii="Times New Roman" w:hAnsi="Times New Roman"/>
          <w:sz w:val="18"/>
          <w:szCs w:val="24"/>
        </w:rPr>
        <w:t xml:space="preserve"> апертур</w:t>
      </w:r>
      <w:r w:rsidR="000C747F">
        <w:rPr>
          <w:rFonts w:ascii="Times New Roman" w:hAnsi="Times New Roman"/>
          <w:sz w:val="18"/>
          <w:szCs w:val="24"/>
        </w:rPr>
        <w:t>ы</w:t>
      </w:r>
      <w:r w:rsidR="0044202E">
        <w:rPr>
          <w:rFonts w:ascii="Times New Roman" w:hAnsi="Times New Roman"/>
          <w:sz w:val="18"/>
          <w:szCs w:val="24"/>
        </w:rPr>
        <w:t xml:space="preserve"> и рабоч</w:t>
      </w:r>
      <w:r w:rsidR="000C747F">
        <w:rPr>
          <w:rFonts w:ascii="Times New Roman" w:hAnsi="Times New Roman"/>
          <w:sz w:val="18"/>
          <w:szCs w:val="24"/>
        </w:rPr>
        <w:t>ие</w:t>
      </w:r>
      <w:r w:rsidR="0044202E">
        <w:rPr>
          <w:rFonts w:ascii="Times New Roman" w:hAnsi="Times New Roman"/>
          <w:sz w:val="18"/>
          <w:szCs w:val="24"/>
        </w:rPr>
        <w:t xml:space="preserve"> точки</w:t>
      </w:r>
      <w:r w:rsidR="0044202E" w:rsidRPr="0044202E">
        <w:rPr>
          <w:rFonts w:ascii="Times New Roman" w:hAnsi="Times New Roman"/>
          <w:sz w:val="18"/>
          <w:szCs w:val="24"/>
        </w:rPr>
        <w:t>.</w:t>
      </w:r>
    </w:p>
    <w:p w:rsidR="002E59D2" w:rsidRPr="002E59D2" w:rsidRDefault="002E59D2" w:rsidP="003C7D8C">
      <w:pPr>
        <w:pStyle w:val="Abstract"/>
        <w:spacing w:after="0"/>
        <w:ind w:left="0"/>
        <w:jc w:val="center"/>
        <w:rPr>
          <w:rFonts w:ascii="Times New Roman" w:hAnsi="Times New Roman"/>
          <w:sz w:val="22"/>
          <w:lang w:val="ru-RU"/>
        </w:rPr>
      </w:pPr>
      <w:r>
        <w:rPr>
          <w:rFonts w:ascii="Times New Roman" w:hAnsi="Times New Roman"/>
          <w:sz w:val="22"/>
          <w:lang w:val="en-US"/>
        </w:rPr>
        <w:t>S</w:t>
      </w:r>
      <w:r w:rsidRPr="002E59D2">
        <w:rPr>
          <w:rFonts w:ascii="Times New Roman" w:hAnsi="Times New Roman"/>
          <w:sz w:val="22"/>
          <w:lang w:val="ru-RU"/>
        </w:rPr>
        <w:t>.</w:t>
      </w:r>
      <w:r>
        <w:rPr>
          <w:rFonts w:ascii="Times New Roman" w:hAnsi="Times New Roman"/>
          <w:sz w:val="22"/>
        </w:rPr>
        <w:t>D</w:t>
      </w:r>
      <w:r w:rsidRPr="002E59D2">
        <w:rPr>
          <w:rFonts w:ascii="Times New Roman" w:hAnsi="Times New Roman"/>
          <w:sz w:val="22"/>
          <w:lang w:val="ru-RU"/>
        </w:rPr>
        <w:t xml:space="preserve">. </w:t>
      </w:r>
      <w:r w:rsidR="003D0203">
        <w:rPr>
          <w:rFonts w:ascii="Times New Roman" w:hAnsi="Times New Roman"/>
          <w:sz w:val="22"/>
          <w:lang w:val="en-US"/>
        </w:rPr>
        <w:t>KOLOKOLCHIKOV</w:t>
      </w:r>
      <w:r w:rsidRPr="002E59D2">
        <w:rPr>
          <w:rFonts w:ascii="Times New Roman" w:hAnsi="Times New Roman"/>
          <w:sz w:val="22"/>
          <w:lang w:val="ru-RU"/>
        </w:rPr>
        <w:t xml:space="preserve">, </w:t>
      </w:r>
      <w:r>
        <w:rPr>
          <w:rFonts w:ascii="Times New Roman" w:hAnsi="Times New Roman"/>
          <w:sz w:val="22"/>
          <w:lang w:val="en-US"/>
        </w:rPr>
        <w:t>Y</w:t>
      </w:r>
      <w:r w:rsidRPr="002E59D2">
        <w:rPr>
          <w:rFonts w:ascii="Times New Roman" w:hAnsi="Times New Roman"/>
          <w:sz w:val="22"/>
          <w:lang w:val="ru-RU"/>
        </w:rPr>
        <w:t>.</w:t>
      </w:r>
      <w:r>
        <w:rPr>
          <w:rFonts w:ascii="Times New Roman" w:hAnsi="Times New Roman"/>
          <w:sz w:val="22"/>
          <w:lang w:val="en-US"/>
        </w:rPr>
        <w:t>V</w:t>
      </w:r>
      <w:r w:rsidRPr="002E59D2">
        <w:rPr>
          <w:rFonts w:ascii="Times New Roman" w:hAnsi="Times New Roman"/>
          <w:sz w:val="22"/>
          <w:lang w:val="ru-RU"/>
        </w:rPr>
        <w:t xml:space="preserve">. </w:t>
      </w:r>
      <w:r>
        <w:rPr>
          <w:rFonts w:ascii="Times New Roman" w:hAnsi="Times New Roman"/>
          <w:sz w:val="22"/>
          <w:lang w:val="en-US"/>
        </w:rPr>
        <w:t>SENICHEV</w:t>
      </w:r>
    </w:p>
    <w:p w:rsidR="002E59D2" w:rsidRDefault="002E59D2" w:rsidP="003C7D8C">
      <w:pPr>
        <w:pStyle w:val="Abstract"/>
        <w:spacing w:after="0"/>
        <w:ind w:left="0" w:firstLine="284"/>
        <w:jc w:val="center"/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i/>
          <w:sz w:val="18"/>
        </w:rPr>
        <w:t>Institute for nuclear research of RAS,</w:t>
      </w:r>
      <w:r w:rsidRPr="000E65F2">
        <w:rPr>
          <w:rFonts w:ascii="Times New Roman" w:hAnsi="Times New Roman"/>
          <w:i/>
          <w:sz w:val="18"/>
        </w:rPr>
        <w:t xml:space="preserve"> Moscow, Russia</w:t>
      </w:r>
    </w:p>
    <w:p w:rsidR="002E59D2" w:rsidRDefault="002E59D2" w:rsidP="003C7D8C">
      <w:pPr>
        <w:pStyle w:val="Abstract"/>
        <w:spacing w:after="0"/>
        <w:ind w:left="0" w:firstLine="284"/>
        <w:jc w:val="center"/>
        <w:rPr>
          <w:rFonts w:ascii="Times New Roman" w:hAnsi="Times New Roman"/>
          <w:i/>
          <w:sz w:val="18"/>
          <w:lang w:val="en-US"/>
        </w:rPr>
      </w:pPr>
      <w:r w:rsidRPr="002E59D2">
        <w:rPr>
          <w:rFonts w:ascii="Times New Roman" w:hAnsi="Times New Roman"/>
          <w:i/>
          <w:sz w:val="18"/>
          <w:lang w:val="en-US"/>
        </w:rPr>
        <w:t>Moscow Institute of Physics and Technology</w:t>
      </w:r>
      <w:r>
        <w:rPr>
          <w:rFonts w:ascii="Times New Roman" w:hAnsi="Times New Roman"/>
          <w:i/>
          <w:sz w:val="18"/>
          <w:lang w:val="en-US"/>
        </w:rPr>
        <w:t xml:space="preserve">, </w:t>
      </w:r>
      <w:r w:rsidRPr="002E59D2">
        <w:rPr>
          <w:rFonts w:ascii="Times New Roman" w:hAnsi="Times New Roman"/>
          <w:i/>
          <w:sz w:val="18"/>
          <w:lang w:val="en-US"/>
        </w:rPr>
        <w:t>Dolgoprudny</w:t>
      </w:r>
      <w:r>
        <w:rPr>
          <w:rFonts w:ascii="Times New Roman" w:hAnsi="Times New Roman"/>
          <w:i/>
          <w:sz w:val="18"/>
          <w:lang w:val="en-US"/>
        </w:rPr>
        <w:t>, Russia</w:t>
      </w:r>
    </w:p>
    <w:p w:rsidR="003C7D8C" w:rsidRPr="002E59D2" w:rsidRDefault="003C7D8C" w:rsidP="003C7D8C">
      <w:pPr>
        <w:pStyle w:val="Abstract"/>
        <w:spacing w:after="0"/>
        <w:ind w:left="0" w:firstLine="284"/>
        <w:jc w:val="center"/>
        <w:rPr>
          <w:rFonts w:ascii="Times New Roman" w:hAnsi="Times New Roman"/>
          <w:i/>
          <w:sz w:val="18"/>
          <w:lang w:val="en-US"/>
        </w:rPr>
      </w:pPr>
    </w:p>
    <w:p w:rsidR="006F2A0F" w:rsidRDefault="006F2A0F" w:rsidP="00F0656F">
      <w:pPr>
        <w:pStyle w:val="Abstract"/>
        <w:spacing w:after="0"/>
        <w:ind w:left="0"/>
        <w:jc w:val="center"/>
        <w:rPr>
          <w:rFonts w:ascii="Times New Roman" w:hAnsi="Times New Roman"/>
          <w:b/>
          <w:bCs/>
          <w:color w:val="auto"/>
          <w:sz w:val="24"/>
          <w:szCs w:val="24"/>
          <w:lang w:val="en-US"/>
        </w:rPr>
      </w:pPr>
      <w:r w:rsidRPr="006F2A0F">
        <w:rPr>
          <w:rFonts w:ascii="Times New Roman" w:hAnsi="Times New Roman"/>
          <w:b/>
          <w:bCs/>
          <w:color w:val="auto"/>
          <w:sz w:val="24"/>
          <w:szCs w:val="24"/>
          <w:lang w:val="en-US"/>
        </w:rPr>
        <w:t>MAGNETO-OPTICAL STRUCTURE OF THE NICA COLLIDER WITH HIGH CRITICAL ENERGY.</w:t>
      </w:r>
    </w:p>
    <w:p w:rsidR="00F0656F" w:rsidRPr="006F2A0F" w:rsidRDefault="00F0656F" w:rsidP="00F0656F">
      <w:pPr>
        <w:pStyle w:val="Abstract"/>
        <w:spacing w:after="0"/>
        <w:ind w:left="0"/>
        <w:jc w:val="center"/>
        <w:rPr>
          <w:rFonts w:ascii="Times New Roman" w:hAnsi="Times New Roman"/>
          <w:b/>
          <w:bCs/>
          <w:color w:val="auto"/>
          <w:sz w:val="24"/>
          <w:szCs w:val="24"/>
          <w:lang w:val="en-US"/>
        </w:rPr>
      </w:pPr>
    </w:p>
    <w:p w:rsidR="007379AB" w:rsidRDefault="0044202E" w:rsidP="003C7D8C">
      <w:pPr>
        <w:pStyle w:val="Abstract"/>
        <w:spacing w:after="0"/>
        <w:ind w:left="0" w:firstLine="708"/>
        <w:rPr>
          <w:rFonts w:ascii="Times New Roman" w:eastAsiaTheme="minorHAnsi" w:hAnsi="Times New Roman"/>
          <w:color w:val="auto"/>
          <w:sz w:val="18"/>
          <w:szCs w:val="24"/>
          <w:lang w:val="en-US"/>
        </w:rPr>
      </w:pPr>
      <w:r w:rsidRPr="0044202E">
        <w:rPr>
          <w:rFonts w:ascii="Times New Roman" w:eastAsiaTheme="minorHAnsi" w:hAnsi="Times New Roman"/>
          <w:color w:val="auto"/>
          <w:sz w:val="18"/>
          <w:szCs w:val="24"/>
          <w:lang w:val="en-US"/>
        </w:rPr>
        <w:t xml:space="preserve">Methods of increasing the critical energy for the proton option of the NICA collider are investigated. The method of </w:t>
      </w:r>
      <w:proofErr w:type="spellStart"/>
      <w:r w:rsidRPr="0044202E">
        <w:rPr>
          <w:rFonts w:ascii="Times New Roman" w:eastAsiaTheme="minorHAnsi" w:hAnsi="Times New Roman"/>
          <w:color w:val="auto"/>
          <w:sz w:val="18"/>
          <w:szCs w:val="24"/>
          <w:lang w:val="en-US"/>
        </w:rPr>
        <w:t>superperiodic</w:t>
      </w:r>
      <w:proofErr w:type="spellEnd"/>
      <w:r w:rsidRPr="0044202E">
        <w:rPr>
          <w:rFonts w:ascii="Times New Roman" w:eastAsiaTheme="minorHAnsi" w:hAnsi="Times New Roman"/>
          <w:color w:val="auto"/>
          <w:sz w:val="18"/>
          <w:szCs w:val="24"/>
          <w:lang w:val="en-US"/>
        </w:rPr>
        <w:t xml:space="preserve"> modulation of quadrupole gradients is applied. The selection of </w:t>
      </w:r>
      <w:proofErr w:type="spellStart"/>
      <w:r w:rsidRPr="0044202E">
        <w:rPr>
          <w:rFonts w:ascii="Times New Roman" w:eastAsiaTheme="minorHAnsi" w:hAnsi="Times New Roman"/>
          <w:color w:val="auto"/>
          <w:sz w:val="18"/>
          <w:szCs w:val="24"/>
          <w:lang w:val="en-US"/>
        </w:rPr>
        <w:t>sextupoles</w:t>
      </w:r>
      <w:proofErr w:type="spellEnd"/>
      <w:r w:rsidRPr="0044202E">
        <w:rPr>
          <w:rFonts w:ascii="Times New Roman" w:eastAsiaTheme="minorHAnsi" w:hAnsi="Times New Roman"/>
          <w:color w:val="auto"/>
          <w:sz w:val="18"/>
          <w:szCs w:val="24"/>
          <w:lang w:val="en-US"/>
        </w:rPr>
        <w:t xml:space="preserve"> is carried out to suppress the natural chromaticity and compensate for the </w:t>
      </w:r>
      <w:proofErr w:type="spellStart"/>
      <w:r w:rsidRPr="0044202E">
        <w:rPr>
          <w:rFonts w:ascii="Times New Roman" w:eastAsiaTheme="minorHAnsi" w:hAnsi="Times New Roman"/>
          <w:color w:val="auto"/>
          <w:sz w:val="18"/>
          <w:szCs w:val="24"/>
          <w:lang w:val="en-US"/>
        </w:rPr>
        <w:t>sextupole</w:t>
      </w:r>
      <w:proofErr w:type="spellEnd"/>
      <w:r w:rsidRPr="0044202E">
        <w:rPr>
          <w:rFonts w:ascii="Times New Roman" w:eastAsiaTheme="minorHAnsi" w:hAnsi="Times New Roman"/>
          <w:color w:val="auto"/>
          <w:sz w:val="18"/>
          <w:szCs w:val="24"/>
          <w:lang w:val="en-US"/>
        </w:rPr>
        <w:t xml:space="preserve"> component. The Twiss parameters for the proposed structures are given, as well as the dynamic aperture</w:t>
      </w:r>
      <w:r w:rsidR="000C747F">
        <w:rPr>
          <w:rFonts w:ascii="Times New Roman" w:eastAsiaTheme="minorHAnsi" w:hAnsi="Times New Roman"/>
          <w:color w:val="auto"/>
          <w:sz w:val="18"/>
          <w:szCs w:val="24"/>
          <w:lang w:val="en-US"/>
        </w:rPr>
        <w:t>s</w:t>
      </w:r>
      <w:r w:rsidRPr="0044202E">
        <w:rPr>
          <w:rFonts w:ascii="Times New Roman" w:eastAsiaTheme="minorHAnsi" w:hAnsi="Times New Roman"/>
          <w:color w:val="auto"/>
          <w:sz w:val="18"/>
          <w:szCs w:val="24"/>
          <w:lang w:val="en-US"/>
        </w:rPr>
        <w:t xml:space="preserve"> and working points are investigated.</w:t>
      </w:r>
    </w:p>
    <w:p w:rsidR="003C7D8C" w:rsidRDefault="003C7D8C" w:rsidP="003C7D8C">
      <w:pPr>
        <w:pStyle w:val="Abstract"/>
        <w:spacing w:after="0"/>
        <w:ind w:left="0" w:firstLine="708"/>
        <w:rPr>
          <w:rFonts w:ascii="Times New Roman" w:eastAsiaTheme="minorHAnsi" w:hAnsi="Times New Roman"/>
          <w:color w:val="auto"/>
          <w:sz w:val="18"/>
          <w:szCs w:val="24"/>
          <w:lang w:val="en-US"/>
        </w:rPr>
      </w:pPr>
    </w:p>
    <w:p w:rsidR="00036026" w:rsidRDefault="0044202E" w:rsidP="00036026">
      <w:pPr>
        <w:pStyle w:val="Abstract"/>
        <w:spacing w:after="0"/>
        <w:ind w:left="0" w:firstLine="708"/>
        <w:rPr>
          <w:rFonts w:ascii="Times New Roman" w:eastAsiaTheme="minorHAnsi" w:hAnsi="Times New Roman"/>
          <w:color w:val="auto"/>
          <w:sz w:val="18"/>
          <w:szCs w:val="24"/>
          <w:lang w:val="ru-RU"/>
        </w:rPr>
      </w:pPr>
      <w:r w:rsidRPr="0044202E">
        <w:rPr>
          <w:rFonts w:ascii="Times New Roman" w:eastAsiaTheme="minorHAnsi" w:hAnsi="Times New Roman"/>
          <w:color w:val="auto"/>
          <w:sz w:val="18"/>
          <w:szCs w:val="24"/>
          <w:lang w:val="ru-RU"/>
        </w:rPr>
        <w:t>Для увеличения критической энергии ускорительного кольца NICA рассматривается возможность изменения дисперсионной функции путем модуляции градиентов квадруполей на поворотных арках кольца. Для этого рассматривается суперпериод, состоящий из 3-х ФОДО ячеек, где центральный</w:t>
      </w:r>
      <w:r w:rsidR="00036026">
        <w:rPr>
          <w:rFonts w:ascii="Times New Roman" w:eastAsiaTheme="minorHAnsi" w:hAnsi="Times New Roman"/>
          <w:color w:val="auto"/>
          <w:sz w:val="18"/>
          <w:szCs w:val="24"/>
          <w:lang w:val="ru-RU"/>
        </w:rPr>
        <w:t xml:space="preserve"> </w:t>
      </w:r>
      <w:r w:rsidRPr="0044202E">
        <w:rPr>
          <w:rFonts w:ascii="Times New Roman" w:eastAsiaTheme="minorHAnsi" w:hAnsi="Times New Roman"/>
          <w:color w:val="auto"/>
          <w:sz w:val="18"/>
          <w:szCs w:val="24"/>
          <w:lang w:val="ru-RU"/>
        </w:rPr>
        <w:t xml:space="preserve">фокусирующий квадруполь отличается от двух крайних </w:t>
      </w:r>
      <w:proofErr w:type="spellStart"/>
      <w:r w:rsidRPr="0044202E">
        <w:rPr>
          <w:rFonts w:ascii="Times New Roman" w:eastAsiaTheme="minorHAnsi" w:hAnsi="Times New Roman"/>
          <w:color w:val="auto"/>
          <w:sz w:val="18"/>
          <w:szCs w:val="24"/>
          <w:lang w:val="ru-RU"/>
        </w:rPr>
        <w:t>б</w:t>
      </w:r>
      <w:r w:rsidR="0032506B">
        <w:rPr>
          <w:rFonts w:ascii="Times New Roman" w:eastAsiaTheme="minorHAnsi" w:hAnsi="Times New Roman"/>
          <w:color w:val="auto"/>
          <w:sz w:val="18"/>
          <w:szCs w:val="24"/>
          <w:lang w:val="ru-RU"/>
        </w:rPr>
        <w:t>О</w:t>
      </w:r>
      <w:r w:rsidRPr="0044202E">
        <w:rPr>
          <w:rFonts w:ascii="Times New Roman" w:eastAsiaTheme="minorHAnsi" w:hAnsi="Times New Roman"/>
          <w:color w:val="auto"/>
          <w:sz w:val="18"/>
          <w:szCs w:val="24"/>
          <w:lang w:val="ru-RU"/>
        </w:rPr>
        <w:t>льшим</w:t>
      </w:r>
      <w:proofErr w:type="spellEnd"/>
      <w:r w:rsidRPr="0044202E">
        <w:rPr>
          <w:rFonts w:ascii="Times New Roman" w:eastAsiaTheme="minorHAnsi" w:hAnsi="Times New Roman"/>
          <w:color w:val="auto"/>
          <w:sz w:val="18"/>
          <w:szCs w:val="24"/>
          <w:lang w:val="ru-RU"/>
        </w:rPr>
        <w:t xml:space="preserve"> значением градиента.</w:t>
      </w:r>
      <w:r w:rsidR="00036026">
        <w:rPr>
          <w:rFonts w:ascii="Times New Roman" w:eastAsiaTheme="minorHAnsi" w:hAnsi="Times New Roman"/>
          <w:color w:val="auto"/>
          <w:sz w:val="18"/>
          <w:szCs w:val="24"/>
          <w:lang w:val="ru-RU"/>
        </w:rPr>
        <w:t xml:space="preserve"> </w:t>
      </w:r>
    </w:p>
    <w:p w:rsidR="00F0656F" w:rsidRPr="00036026" w:rsidRDefault="007379AB" w:rsidP="00036026">
      <w:pPr>
        <w:pStyle w:val="Abstract"/>
        <w:spacing w:after="0"/>
        <w:ind w:left="0" w:firstLine="708"/>
        <w:rPr>
          <w:rFonts w:ascii="Times New Roman" w:eastAsiaTheme="minorHAnsi" w:hAnsi="Times New Roman"/>
          <w:color w:val="auto"/>
          <w:sz w:val="18"/>
          <w:szCs w:val="24"/>
          <w:lang w:val="ru-RU"/>
        </w:rPr>
      </w:pPr>
      <w:r w:rsidRPr="00036026">
        <w:rPr>
          <w:rFonts w:ascii="Times New Roman" w:eastAsiaTheme="minorEastAsia" w:hAnsi="Times New Roman"/>
          <w:sz w:val="18"/>
          <w:szCs w:val="18"/>
          <w:lang w:val="ru-RU"/>
        </w:rPr>
        <w:t xml:space="preserve">Для одного суперпериода </w:t>
      </w:r>
      <w:r w:rsidRPr="00036026">
        <w:rPr>
          <w:rFonts w:ascii="Times New Roman" w:hAnsi="Times New Roman"/>
          <w:sz w:val="18"/>
          <w:szCs w:val="18"/>
          <w:lang w:val="ru-RU"/>
        </w:rPr>
        <w:t xml:space="preserve">коэффициент расширения орбиты </w:t>
      </w:r>
      <w:r w:rsidRPr="00036026">
        <w:rPr>
          <w:rFonts w:ascii="Times New Roman" w:eastAsiaTheme="minorEastAsia" w:hAnsi="Times New Roman"/>
          <w:sz w:val="18"/>
          <w:szCs w:val="18"/>
          <w:lang w:val="ru-RU"/>
        </w:rPr>
        <w:t>определяется по формуле (1):</w:t>
      </w:r>
    </w:p>
    <w:p w:rsidR="00036026" w:rsidRPr="00036026" w:rsidRDefault="00036026" w:rsidP="00036026">
      <w:pPr>
        <w:pStyle w:val="Abstract"/>
        <w:spacing w:after="0"/>
        <w:ind w:left="0" w:firstLine="708"/>
        <w:rPr>
          <w:rFonts w:ascii="Times New Roman" w:eastAsiaTheme="minorHAnsi" w:hAnsi="Times New Roman"/>
          <w:color w:val="auto"/>
          <w:sz w:val="18"/>
          <w:szCs w:val="24"/>
          <w:lang w:val="ru-RU"/>
        </w:rPr>
      </w:pPr>
    </w:p>
    <w:p w:rsidR="00F0656F" w:rsidRDefault="00297224" w:rsidP="003C7D8C">
      <w:pPr>
        <w:spacing w:line="240" w:lineRule="auto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s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  <w:szCs w:val="1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x,арк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arc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x,арк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</m:sup>
              </m:sSup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k=-∞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(1-kS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/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x,арк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)[1-(1-kS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/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x,арк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]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 w:cs="Times New Roman"/>
                  <w:sz w:val="18"/>
                  <w:szCs w:val="18"/>
                </w:rPr>
                <m:t>...</m:t>
              </m:r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>,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1</m:t>
              </m:r>
            </m:e>
          </m:d>
        </m:oMath>
      </m:oMathPara>
    </w:p>
    <w:p w:rsidR="00036026" w:rsidRDefault="000739D0" w:rsidP="00036026">
      <w:pPr>
        <w:spacing w:line="240" w:lineRule="auto"/>
        <w:jc w:val="both"/>
        <w:rPr>
          <w:rFonts w:ascii="Times New Roman" w:eastAsiaTheme="minorEastAsia" w:hAnsi="Times New Roman" w:cs="Times New Roman"/>
          <w:iCs/>
          <w:sz w:val="18"/>
          <w:szCs w:val="18"/>
        </w:rPr>
      </w:pPr>
      <w:r w:rsidRPr="007379AB">
        <w:rPr>
          <w:rFonts w:ascii="Times New Roman" w:eastAsiaTheme="minorEastAsia" w:hAnsi="Times New Roman" w:cs="Times New Roman"/>
          <w:noProof/>
          <w:sz w:val="18"/>
          <w:szCs w:val="18"/>
        </w:rPr>
        <w:lastRenderedPageBreak/>
        <w:drawing>
          <wp:anchor distT="0" distB="0" distL="114300" distR="114300" simplePos="0" relativeHeight="251665408" behindDoc="0" locked="0" layoutInCell="1" allowOverlap="1" wp14:anchorId="146E9AAD" wp14:editId="72309924">
            <wp:simplePos x="0" y="0"/>
            <wp:positionH relativeFrom="column">
              <wp:posOffset>194945</wp:posOffset>
            </wp:positionH>
            <wp:positionV relativeFrom="paragraph">
              <wp:posOffset>1750695</wp:posOffset>
            </wp:positionV>
            <wp:extent cx="3348990" cy="1121410"/>
            <wp:effectExtent l="0" t="0" r="381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79AB">
        <w:rPr>
          <w:rFonts w:ascii="Times New Roman" w:eastAsiaTheme="minorEastAsia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FD518C" wp14:editId="6A2E21ED">
                <wp:simplePos x="0" y="0"/>
                <wp:positionH relativeFrom="column">
                  <wp:posOffset>-90170</wp:posOffset>
                </wp:positionH>
                <wp:positionV relativeFrom="paragraph">
                  <wp:posOffset>2869565</wp:posOffset>
                </wp:positionV>
                <wp:extent cx="4239895" cy="635"/>
                <wp:effectExtent l="0" t="0" r="1905" b="0"/>
                <wp:wrapTopAndBottom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9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379AB" w:rsidRPr="003C7D8C" w:rsidRDefault="007379AB" w:rsidP="003C7D8C">
                            <w:pPr>
                              <w:pStyle w:val="a8"/>
                              <w:jc w:val="both"/>
                              <w:rPr>
                                <w:noProof/>
                              </w:rPr>
                            </w:pPr>
                            <w:r w:rsidRPr="003C7D8C">
                              <w:t xml:space="preserve">Рисунок </w:t>
                            </w:r>
                            <w:fldSimple w:instr=" SEQ Рисунок \* ARABIC ">
                              <w:r w:rsidRPr="003C7D8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Pr="003C7D8C">
                              <w:t xml:space="preserve"> Принципиальная схема двух возможных вариантов подавления дисперсии для протонной опции коллайдера </w:t>
                            </w:r>
                            <w:r w:rsidRPr="003C7D8C">
                              <w:rPr>
                                <w:lang w:val="en-US"/>
                              </w:rPr>
                              <w:t>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FD518C" id="_x0000_t202" coordsize="21600,21600" o:spt="202" path="m,l,21600r21600,l21600,xe">
                <v:stroke joinstyle="miter"/>
                <v:path gradientshapeok="t" o:connecttype="rect"/>
              </v:shapetype>
              <v:shape id="Надпись 26" o:spid="_x0000_s1026" type="#_x0000_t202" style="position:absolute;left:0;text-align:left;margin-left:-7.1pt;margin-top:225.95pt;width:333.85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" stroked="f">
                <v:textbox style="mso-fit-shape-to-text:t" inset="0,0,0,0">
                  <w:txbxContent>
                    <w:p w:rsidR="007379AB" w:rsidRPr="003C7D8C" w:rsidRDefault="007379AB" w:rsidP="003C7D8C">
                      <w:pPr>
                        <w:pStyle w:val="a8"/>
                        <w:jc w:val="both"/>
                        <w:rPr>
                          <w:noProof/>
                        </w:rPr>
                      </w:pPr>
                      <w:r w:rsidRPr="003C7D8C">
                        <w:t xml:space="preserve">Рисунок </w:t>
                      </w:r>
                      <w:fldSimple w:instr=" SEQ Рисунок \* ARABIC ">
                        <w:r w:rsidRPr="003C7D8C">
                          <w:rPr>
                            <w:noProof/>
                          </w:rPr>
                          <w:t>2</w:t>
                        </w:r>
                      </w:fldSimple>
                      <w:r w:rsidRPr="003C7D8C">
                        <w:t xml:space="preserve"> Принципиальная схема двух возможных вариантов подавления дисперсии для протонной опции коллайдера </w:t>
                      </w:r>
                      <w:r w:rsidRPr="003C7D8C">
                        <w:rPr>
                          <w:lang w:val="en-US"/>
                        </w:rPr>
                        <w:t>NICA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459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8E1E6" wp14:editId="652F07F3">
                <wp:simplePos x="0" y="0"/>
                <wp:positionH relativeFrom="column">
                  <wp:posOffset>-95885</wp:posOffset>
                </wp:positionH>
                <wp:positionV relativeFrom="paragraph">
                  <wp:posOffset>1002921</wp:posOffset>
                </wp:positionV>
                <wp:extent cx="4052570" cy="635"/>
                <wp:effectExtent l="0" t="0" r="0" b="12065"/>
                <wp:wrapTopAndBottom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2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4202E" w:rsidRPr="007379AB" w:rsidRDefault="0044202E" w:rsidP="0044202E">
                            <w:pPr>
                              <w:pStyle w:val="a8"/>
                              <w:jc w:val="center"/>
                              <w:rPr>
                                <w:rFonts w:cs="Times New Roman"/>
                                <w:noProof/>
                              </w:rPr>
                            </w:pPr>
                            <w:r w:rsidRPr="007379AB">
                              <w:t xml:space="preserve">Рисунок </w:t>
                            </w:r>
                            <w:fldSimple w:instr=" SEQ Рисунок \* ARABIC ">
                              <w:r w:rsidRPr="007379A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7379AB">
                              <w:t xml:space="preserve"> Введение суперпериода, состоящего из 3-х ФОДО ячеек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8E1E6" id="Надпись 24" o:spid="_x0000_s1027" type="#_x0000_t202" style="position:absolute;left:0;text-align:left;margin-left:-7.55pt;margin-top:78.95pt;width:319.1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" stroked="f">
                <v:textbox style="mso-fit-shape-to-text:t" inset="0,0,0,0">
                  <w:txbxContent>
                    <w:p w:rsidR="0044202E" w:rsidRPr="007379AB" w:rsidRDefault="0044202E" w:rsidP="0044202E">
                      <w:pPr>
                        <w:pStyle w:val="a8"/>
                        <w:jc w:val="center"/>
                        <w:rPr>
                          <w:rFonts w:cs="Times New Roman"/>
                          <w:noProof/>
                        </w:rPr>
                      </w:pPr>
                      <w:r w:rsidRPr="007379AB">
                        <w:t xml:space="preserve">Рисунок </w:t>
                      </w:r>
                      <w:fldSimple w:instr=" SEQ Рисунок \* ARABIC ">
                        <w:r w:rsidRPr="007379AB">
                          <w:rPr>
                            <w:noProof/>
                          </w:rPr>
                          <w:t>1</w:t>
                        </w:r>
                      </w:fldSimple>
                      <w:r w:rsidRPr="007379AB">
                        <w:t xml:space="preserve"> Введение суперпериода, состоящего из 3-х ФОДО ячеек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459CA" w:rsidRPr="0044202E">
        <w:rPr>
          <w:rFonts w:ascii="Times New Roman" w:hAnsi="Times New Roman"/>
          <w:noProof/>
          <w:sz w:val="18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40CB0BF8" wp14:editId="4896FEBD">
            <wp:simplePos x="0" y="0"/>
            <wp:positionH relativeFrom="column">
              <wp:posOffset>312420</wp:posOffset>
            </wp:positionH>
            <wp:positionV relativeFrom="paragraph">
              <wp:posOffset>499</wp:posOffset>
            </wp:positionV>
            <wp:extent cx="3423920" cy="1085215"/>
            <wp:effectExtent l="0" t="0" r="0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37E" w:rsidRPr="00E7237E">
        <w:rPr>
          <w:rFonts w:ascii="Times New Roman" w:eastAsiaTheme="minorEastAsia" w:hAnsi="Times New Roman" w:cs="Times New Roman"/>
          <w:sz w:val="18"/>
          <w:szCs w:val="18"/>
        </w:rPr>
        <w:t xml:space="preserve">Первая гармоника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k=1</m:t>
        </m:r>
      </m:oMath>
      <w:r w:rsidR="00E7237E" w:rsidRPr="00E7237E">
        <w:rPr>
          <w:rFonts w:ascii="Times New Roman" w:eastAsiaTheme="minorEastAsia" w:hAnsi="Times New Roman" w:cs="Times New Roman"/>
          <w:sz w:val="18"/>
          <w:szCs w:val="18"/>
        </w:rPr>
        <w:t xml:space="preserve"> является определяющей и для 12 ФОДО я</w:t>
      </w:r>
      <w:proofErr w:type="spellStart"/>
      <w:r w:rsidR="00E7237E" w:rsidRPr="00E7237E">
        <w:rPr>
          <w:rFonts w:ascii="Times New Roman" w:eastAsiaTheme="minorEastAsia" w:hAnsi="Times New Roman" w:cs="Times New Roman"/>
          <w:sz w:val="18"/>
          <w:szCs w:val="18"/>
        </w:rPr>
        <w:t>чеек</w:t>
      </w:r>
      <w:proofErr w:type="spellEnd"/>
      <w:r w:rsidR="00E7237E" w:rsidRPr="00E7237E">
        <w:rPr>
          <w:rFonts w:ascii="Times New Roman" w:eastAsiaTheme="minorEastAsia" w:hAnsi="Times New Roman" w:cs="Times New Roman"/>
          <w:sz w:val="18"/>
          <w:szCs w:val="18"/>
        </w:rPr>
        <w:t xml:space="preserve"> реализуемо условие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для количества суперпериодов</w:t>
      </w:r>
      <w:r w:rsidR="00E7237E" w:rsidRPr="00E7237E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S=4</m:t>
        </m:r>
      </m:oMath>
      <w:r w:rsidR="00E7237E" w:rsidRPr="00E7237E">
        <w:rPr>
          <w:rFonts w:ascii="Times New Roman" w:eastAsiaTheme="minorEastAsia" w:hAnsi="Times New Roman" w:cs="Times New Roman"/>
          <w:sz w:val="18"/>
          <w:szCs w:val="1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ν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x,арк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=3</m:t>
        </m:r>
      </m:oMath>
      <w:r w:rsidR="00E7237E" w:rsidRPr="00E7237E">
        <w:rPr>
          <w:rFonts w:ascii="Times New Roman" w:eastAsiaTheme="minorEastAsia" w:hAnsi="Times New Roman" w:cs="Times New Roman"/>
          <w:sz w:val="18"/>
          <w:szCs w:val="18"/>
        </w:rPr>
        <w:t>, где 3 ФОДО ячейки объединены в один суперпериод.</w:t>
      </w:r>
    </w:p>
    <w:p w:rsidR="007379AB" w:rsidRPr="007379AB" w:rsidRDefault="007379AB" w:rsidP="00036026">
      <w:pPr>
        <w:spacing w:line="240" w:lineRule="auto"/>
        <w:ind w:firstLine="360"/>
        <w:jc w:val="both"/>
        <w:rPr>
          <w:rFonts w:ascii="Times New Roman" w:eastAsiaTheme="minorEastAsia" w:hAnsi="Times New Roman" w:cs="Times New Roman"/>
          <w:iCs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У</w:t>
      </w:r>
      <w:r w:rsidRPr="007379AB">
        <w:rPr>
          <w:rFonts w:ascii="Times New Roman" w:eastAsiaTheme="minorEastAsia" w:hAnsi="Times New Roman" w:cs="Times New Roman"/>
          <w:sz w:val="18"/>
          <w:szCs w:val="18"/>
        </w:rPr>
        <w:t xml:space="preserve">читывая особенность структуры коллайдера </w:t>
      </w:r>
      <w:r w:rsidRPr="007379AB">
        <w:rPr>
          <w:rFonts w:ascii="Times New Roman" w:eastAsiaTheme="minorEastAsia" w:hAnsi="Times New Roman" w:cs="Times New Roman"/>
          <w:sz w:val="18"/>
          <w:szCs w:val="18"/>
          <w:lang w:val="en-US"/>
        </w:rPr>
        <w:t>NICA</w:t>
      </w:r>
      <w:r w:rsidRPr="007379AB">
        <w:rPr>
          <w:rFonts w:ascii="Times New Roman" w:eastAsiaTheme="minorEastAsia" w:hAnsi="Times New Roman" w:cs="Times New Roman"/>
          <w:sz w:val="18"/>
          <w:szCs w:val="18"/>
        </w:rPr>
        <w:t xml:space="preserve">, наличие </w:t>
      </w:r>
      <w:r w:rsidRPr="007379AB">
        <w:rPr>
          <w:rFonts w:ascii="Times New Roman" w:eastAsiaTheme="minorEastAsia" w:hAnsi="Times New Roman" w:cs="Times New Roman"/>
          <w:sz w:val="18"/>
          <w:szCs w:val="18"/>
          <w:lang w:val="en-US"/>
        </w:rPr>
        <w:t>missing</w:t>
      </w:r>
      <w:r w:rsidRPr="007379AB">
        <w:rPr>
          <w:rFonts w:ascii="Times New Roman" w:eastAsiaTheme="minorEastAsia" w:hAnsi="Times New Roman" w:cs="Times New Roman"/>
          <w:sz w:val="18"/>
          <w:szCs w:val="18"/>
        </w:rPr>
        <w:t>-магнитов на двух крайних</w:t>
      </w:r>
      <w:r w:rsidR="00C464C3">
        <w:rPr>
          <w:rFonts w:ascii="Times New Roman" w:eastAsiaTheme="minorEastAsia" w:hAnsi="Times New Roman" w:cs="Times New Roman"/>
          <w:sz w:val="18"/>
          <w:szCs w:val="18"/>
        </w:rPr>
        <w:t xml:space="preserve"> ячейках</w:t>
      </w:r>
      <w:r w:rsidRPr="007379AB">
        <w:rPr>
          <w:rFonts w:ascii="Times New Roman" w:eastAsiaTheme="minorEastAsia" w:hAnsi="Times New Roman" w:cs="Times New Roman"/>
          <w:sz w:val="18"/>
          <w:szCs w:val="18"/>
        </w:rPr>
        <w:t xml:space="preserve"> не дает возможность создать полностью регулярную арку из 4-х одинаковых суперпериодов. Таким образом, необходимо обеспечить подавление дисперсии на краях арки. Рассматриваются 2 возможных случая подавления дисперсии:</w:t>
      </w:r>
    </w:p>
    <w:p w:rsidR="00036026" w:rsidRDefault="007379AB" w:rsidP="00A84AD6">
      <w:pPr>
        <w:numPr>
          <w:ilvl w:val="0"/>
          <w:numId w:val="1"/>
        </w:numPr>
        <w:spacing w:line="240" w:lineRule="auto"/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036026">
        <w:rPr>
          <w:rFonts w:ascii="Times New Roman" w:eastAsiaTheme="minorEastAsia" w:hAnsi="Times New Roman" w:cs="Times New Roman"/>
          <w:sz w:val="18"/>
          <w:szCs w:val="18"/>
        </w:rPr>
        <w:t xml:space="preserve">Подавление дисперсии при помощи крайних суперпериодов. А именно двух крайних ФОДО ячеек. </w:t>
      </w:r>
    </w:p>
    <w:p w:rsidR="00E7237E" w:rsidRDefault="007379AB" w:rsidP="00A84AD6">
      <w:pPr>
        <w:numPr>
          <w:ilvl w:val="0"/>
          <w:numId w:val="1"/>
        </w:numPr>
        <w:spacing w:line="240" w:lineRule="auto"/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036026">
        <w:rPr>
          <w:rFonts w:ascii="Times New Roman" w:eastAsiaTheme="minorEastAsia" w:hAnsi="Times New Roman" w:cs="Times New Roman"/>
          <w:sz w:val="18"/>
          <w:szCs w:val="18"/>
        </w:rPr>
        <w:t>Подавление дисперсии всей аркой, при помощи выбора градиентов квадруполей двух семейств.</w:t>
      </w:r>
    </w:p>
    <w:p w:rsidR="00463BC5" w:rsidRPr="00EE3E0C" w:rsidRDefault="00463BC5" w:rsidP="00463BC5">
      <w:pPr>
        <w:spacing w:line="240" w:lineRule="auto"/>
        <w:ind w:firstLine="284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Оба приведенных способа повышения критической энергии позволяют достичь требуемого значения критической энергии, однако имеют свои особенности при конечной реализации.</w:t>
      </w:r>
    </w:p>
    <w:p w:rsidR="00EE3E0C" w:rsidRDefault="00EE3E0C" w:rsidP="00AD4087">
      <w:pPr>
        <w:spacing w:after="160" w:line="240" w:lineRule="auto"/>
        <w:ind w:firstLine="284"/>
        <w:contextualSpacing/>
        <w:jc w:val="center"/>
        <w:rPr>
          <w:rFonts w:ascii="Times New Roman" w:hAnsi="Times New Roman" w:cs="Times New Roman"/>
          <w:bCs/>
          <w:i/>
          <w:sz w:val="16"/>
          <w:szCs w:val="18"/>
          <w:shd w:val="clear" w:color="auto" w:fill="FFFFFF"/>
        </w:rPr>
      </w:pPr>
    </w:p>
    <w:p w:rsidR="00EE3E0C" w:rsidRDefault="00EE3E0C" w:rsidP="00AD4087">
      <w:pPr>
        <w:spacing w:after="160" w:line="240" w:lineRule="auto"/>
        <w:ind w:firstLine="284"/>
        <w:contextualSpacing/>
        <w:jc w:val="center"/>
        <w:rPr>
          <w:rFonts w:ascii="Times New Roman" w:hAnsi="Times New Roman" w:cs="Times New Roman"/>
          <w:bCs/>
          <w:i/>
          <w:sz w:val="16"/>
          <w:szCs w:val="18"/>
          <w:shd w:val="clear" w:color="auto" w:fill="FFFFFF"/>
        </w:rPr>
      </w:pPr>
    </w:p>
    <w:p w:rsidR="00EE3E0C" w:rsidRDefault="00EE3E0C" w:rsidP="00AD4087">
      <w:pPr>
        <w:spacing w:after="160" w:line="240" w:lineRule="auto"/>
        <w:ind w:firstLine="284"/>
        <w:contextualSpacing/>
        <w:jc w:val="center"/>
        <w:rPr>
          <w:rFonts w:ascii="Times New Roman" w:hAnsi="Times New Roman" w:cs="Times New Roman"/>
          <w:bCs/>
          <w:i/>
          <w:sz w:val="16"/>
          <w:szCs w:val="18"/>
          <w:shd w:val="clear" w:color="auto" w:fill="FFFFFF"/>
        </w:rPr>
      </w:pPr>
    </w:p>
    <w:p w:rsidR="00EE3E0C" w:rsidRDefault="00EE3E0C" w:rsidP="00AD4087">
      <w:pPr>
        <w:spacing w:after="160" w:line="240" w:lineRule="auto"/>
        <w:ind w:firstLine="284"/>
        <w:contextualSpacing/>
        <w:jc w:val="center"/>
        <w:rPr>
          <w:rFonts w:ascii="Times New Roman" w:hAnsi="Times New Roman" w:cs="Times New Roman"/>
          <w:bCs/>
          <w:i/>
          <w:sz w:val="16"/>
          <w:szCs w:val="18"/>
          <w:shd w:val="clear" w:color="auto" w:fill="FFFFFF"/>
        </w:rPr>
      </w:pPr>
    </w:p>
    <w:p w:rsidR="00AD4087" w:rsidRDefault="00AD4087" w:rsidP="00AD4087">
      <w:pPr>
        <w:spacing w:after="160" w:line="240" w:lineRule="auto"/>
        <w:ind w:firstLine="284"/>
        <w:contextualSpacing/>
        <w:jc w:val="center"/>
        <w:rPr>
          <w:rFonts w:ascii="Times New Roman" w:hAnsi="Times New Roman" w:cs="Times New Roman"/>
          <w:bCs/>
          <w:i/>
          <w:sz w:val="16"/>
          <w:szCs w:val="18"/>
          <w:shd w:val="clear" w:color="auto" w:fill="FFFFFF"/>
        </w:rPr>
      </w:pPr>
      <w:r w:rsidRPr="000E65F2">
        <w:rPr>
          <w:rFonts w:ascii="Times New Roman" w:hAnsi="Times New Roman" w:cs="Times New Roman"/>
          <w:bCs/>
          <w:i/>
          <w:sz w:val="16"/>
          <w:szCs w:val="18"/>
          <w:shd w:val="clear" w:color="auto" w:fill="FFFFFF"/>
        </w:rPr>
        <w:lastRenderedPageBreak/>
        <w:t>Список</w:t>
      </w:r>
      <w:r w:rsidRPr="00B64479">
        <w:rPr>
          <w:rFonts w:ascii="Times New Roman" w:hAnsi="Times New Roman" w:cs="Times New Roman"/>
          <w:bCs/>
          <w:i/>
          <w:sz w:val="16"/>
          <w:szCs w:val="18"/>
          <w:shd w:val="clear" w:color="auto" w:fill="FFFFFF"/>
        </w:rPr>
        <w:t xml:space="preserve"> </w:t>
      </w:r>
      <w:r w:rsidRPr="000E65F2">
        <w:rPr>
          <w:rFonts w:ascii="Times New Roman" w:hAnsi="Times New Roman" w:cs="Times New Roman"/>
          <w:bCs/>
          <w:i/>
          <w:sz w:val="16"/>
          <w:szCs w:val="18"/>
          <w:shd w:val="clear" w:color="auto" w:fill="FFFFFF"/>
        </w:rPr>
        <w:t>литературы</w:t>
      </w:r>
    </w:p>
    <w:p w:rsidR="00C459CA" w:rsidRPr="00B64479" w:rsidRDefault="00C459CA" w:rsidP="00AD4087">
      <w:pPr>
        <w:spacing w:after="160" w:line="240" w:lineRule="auto"/>
        <w:ind w:firstLine="284"/>
        <w:contextualSpacing/>
        <w:jc w:val="center"/>
        <w:rPr>
          <w:rFonts w:ascii="Times New Roman" w:hAnsi="Times New Roman" w:cs="Times New Roman"/>
          <w:bCs/>
          <w:i/>
          <w:sz w:val="16"/>
          <w:szCs w:val="18"/>
          <w:shd w:val="clear" w:color="auto" w:fill="FFFFFF"/>
        </w:rPr>
      </w:pPr>
    </w:p>
    <w:p w:rsidR="00AD4087" w:rsidRPr="00AD4087" w:rsidRDefault="00AD4087" w:rsidP="00AD4087">
      <w:pPr>
        <w:numPr>
          <w:ilvl w:val="0"/>
          <w:numId w:val="2"/>
        </w:numPr>
        <w:spacing w:after="160" w:line="240" w:lineRule="auto"/>
        <w:contextualSpacing/>
        <w:jc w:val="both"/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</w:pPr>
      <w:r w:rsidRPr="00AD4087"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  <w:t xml:space="preserve">Yu. V. </w:t>
      </w:r>
      <w:proofErr w:type="spellStart"/>
      <w:r w:rsidRPr="00AD4087"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  <w:t>Senichev</w:t>
      </w:r>
      <w:proofErr w:type="spellEnd"/>
      <w:r w:rsidRPr="00AD4087"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  <w:t xml:space="preserve"> and A. N. </w:t>
      </w:r>
      <w:proofErr w:type="spellStart"/>
      <w:r w:rsidRPr="00AD4087"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  <w:t>Chechenin</w:t>
      </w:r>
      <w:proofErr w:type="spellEnd"/>
      <w:r w:rsidRPr="00AD4087"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  <w:t>. Theory of “Resonant” Lattices for Synchrotrons with Negative Momentum Compaction Factor. Journal of Experimental and Theoretical Physics, 2007, Vol. 105, No. 5, pp. 988–997</w:t>
      </w:r>
    </w:p>
    <w:p w:rsidR="00AD4087" w:rsidRPr="00AD4087" w:rsidRDefault="00AD4087" w:rsidP="00AD4087">
      <w:pPr>
        <w:numPr>
          <w:ilvl w:val="0"/>
          <w:numId w:val="2"/>
        </w:numPr>
        <w:spacing w:after="160" w:line="240" w:lineRule="auto"/>
        <w:contextualSpacing/>
        <w:jc w:val="both"/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</w:pPr>
      <w:r w:rsidRPr="00AD4087"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  <w:t xml:space="preserve">Yu. V. </w:t>
      </w:r>
      <w:proofErr w:type="spellStart"/>
      <w:r w:rsidRPr="00AD4087"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  <w:t>Senichev</w:t>
      </w:r>
      <w:proofErr w:type="spellEnd"/>
      <w:r w:rsidRPr="00AD4087"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  <w:t xml:space="preserve"> and A. N. </w:t>
      </w:r>
      <w:proofErr w:type="spellStart"/>
      <w:r w:rsidRPr="00AD4087"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  <w:t>Chechenin</w:t>
      </w:r>
      <w:proofErr w:type="spellEnd"/>
      <w:r w:rsidRPr="00AD4087"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  <w:t>. Construction of “Resonant” Magneto-Optical Lattices with Controlled Momentum Compaction Factor Journal of Experimental and Theoretical Physics, 2007, Vol. 105, No. 6, pp. 1141–1156.</w:t>
      </w:r>
    </w:p>
    <w:p w:rsidR="00AD4087" w:rsidRPr="00AD4087" w:rsidRDefault="00AD4087" w:rsidP="00AD4087">
      <w:pPr>
        <w:numPr>
          <w:ilvl w:val="0"/>
          <w:numId w:val="2"/>
        </w:numPr>
        <w:spacing w:after="160" w:line="240" w:lineRule="auto"/>
        <w:contextualSpacing/>
        <w:jc w:val="both"/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</w:pPr>
      <w:r w:rsidRPr="00AD4087"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  <w:t xml:space="preserve">Yu. </w:t>
      </w:r>
      <w:proofErr w:type="spellStart"/>
      <w:r w:rsidRPr="00AD4087"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  <w:t>Senichev</w:t>
      </w:r>
      <w:proofErr w:type="spellEnd"/>
      <w:r w:rsidRPr="00AD4087"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  <w:t xml:space="preserve">, A. </w:t>
      </w:r>
      <w:proofErr w:type="spellStart"/>
      <w:r w:rsidRPr="00AD4087"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  <w:t>Chechenin</w:t>
      </w:r>
      <w:proofErr w:type="spellEnd"/>
      <w:r w:rsidRPr="00AD4087"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  <w:t xml:space="preserve">, S. </w:t>
      </w:r>
      <w:proofErr w:type="spellStart"/>
      <w:r w:rsidRPr="00AD4087"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  <w:t>Kostromin</w:t>
      </w:r>
      <w:proofErr w:type="spellEnd"/>
      <w:r w:rsidRPr="00AD4087"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  <w:t xml:space="preserve">. </w:t>
      </w:r>
      <w:r w:rsidRPr="00AD4087"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GB"/>
        </w:rPr>
        <w:t>Variable Transition Energy Lattices based on different periodic cells with various types of dispersion suppressor.</w:t>
      </w:r>
    </w:p>
    <w:p w:rsidR="00AD4087" w:rsidRPr="00AD4087" w:rsidRDefault="00AD4087" w:rsidP="00AD4087">
      <w:pPr>
        <w:numPr>
          <w:ilvl w:val="0"/>
          <w:numId w:val="2"/>
        </w:numPr>
        <w:spacing w:after="160" w:line="240" w:lineRule="auto"/>
        <w:contextualSpacing/>
        <w:jc w:val="both"/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</w:pPr>
      <w:r w:rsidRPr="00AD4087"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  <w:t>Bernhard J. Holzer. Beam optics and lattice design for particle accelerators. CERN Yellow Report CERN-2013-001, pp.171-206</w:t>
      </w:r>
    </w:p>
    <w:p w:rsidR="00AD4087" w:rsidRPr="00AD4087" w:rsidRDefault="00AD4087" w:rsidP="00AD4087">
      <w:pPr>
        <w:numPr>
          <w:ilvl w:val="0"/>
          <w:numId w:val="2"/>
        </w:numPr>
        <w:spacing w:after="160" w:line="240" w:lineRule="auto"/>
        <w:contextualSpacing/>
        <w:jc w:val="both"/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</w:pPr>
      <w:r w:rsidRPr="00AD4087"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  <w:t xml:space="preserve">B. Lorentz, A. </w:t>
      </w:r>
      <w:proofErr w:type="spellStart"/>
      <w:r w:rsidRPr="00AD4087"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  <w:t>Lehrach</w:t>
      </w:r>
      <w:proofErr w:type="spellEnd"/>
      <w:r w:rsidRPr="00AD4087"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  <w:t xml:space="preserve">, R. Maier, D. </w:t>
      </w:r>
      <w:proofErr w:type="spellStart"/>
      <w:r w:rsidRPr="00AD4087"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  <w:t>Prasuhn</w:t>
      </w:r>
      <w:proofErr w:type="spellEnd"/>
      <w:r w:rsidRPr="00AD4087"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  <w:t xml:space="preserve">, H. </w:t>
      </w:r>
      <w:proofErr w:type="spellStart"/>
      <w:r w:rsidRPr="00AD4087"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  <w:t>Stockhorst</w:t>
      </w:r>
      <w:proofErr w:type="spellEnd"/>
      <w:r w:rsidRPr="00AD4087"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  <w:t xml:space="preserve">, and R. </w:t>
      </w:r>
      <w:proofErr w:type="spellStart"/>
      <w:r w:rsidRPr="00AD4087"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  <w:t>Tölle</w:t>
      </w:r>
      <w:proofErr w:type="spellEnd"/>
      <w:r w:rsidRPr="00AD4087"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  <w:t xml:space="preserve">, </w:t>
      </w:r>
      <w:proofErr w:type="spellStart"/>
      <w:r w:rsidRPr="00AD4087"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  <w:t>Forschungszentrum</w:t>
      </w:r>
      <w:proofErr w:type="spellEnd"/>
      <w:r w:rsidRPr="00AD4087"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AD4087"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  <w:t>Jülich</w:t>
      </w:r>
      <w:proofErr w:type="spellEnd"/>
      <w:r w:rsidRPr="00AD4087"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  <w:t xml:space="preserve"> GmbH, D-52425 </w:t>
      </w:r>
      <w:proofErr w:type="spellStart"/>
      <w:r w:rsidRPr="00AD4087"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  <w:t>Jülich</w:t>
      </w:r>
      <w:proofErr w:type="spellEnd"/>
      <w:r w:rsidRPr="00AD4087"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  <w:t>, Germany. HESR Linear Lattice Design. Proceedings of EPAC08, Genoa, Italy.</w:t>
      </w:r>
    </w:p>
    <w:p w:rsidR="007379AB" w:rsidRPr="00847827" w:rsidRDefault="00AD4087" w:rsidP="00847827">
      <w:pPr>
        <w:numPr>
          <w:ilvl w:val="0"/>
          <w:numId w:val="2"/>
        </w:numPr>
        <w:spacing w:after="160" w:line="240" w:lineRule="auto"/>
        <w:contextualSpacing/>
        <w:jc w:val="both"/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</w:pPr>
      <w:proofErr w:type="spellStart"/>
      <w:r w:rsidRPr="00AD4087"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  <w:t>P.</w:t>
      </w:r>
      <w:proofErr w:type="gramStart"/>
      <w:r w:rsidRPr="00AD4087"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  <w:t>J.Bryant</w:t>
      </w:r>
      <w:proofErr w:type="spellEnd"/>
      <w:proofErr w:type="gramEnd"/>
      <w:r w:rsidRPr="00AD4087"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  <w:t xml:space="preserve">, Planning </w:t>
      </w:r>
      <w:proofErr w:type="spellStart"/>
      <w:r w:rsidRPr="00AD4087"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  <w:t>Sextupole</w:t>
      </w:r>
      <w:proofErr w:type="spellEnd"/>
      <w:r w:rsidRPr="00AD4087"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  <w:t xml:space="preserve"> Families in a Circular Collider. Advanced accelerator physics. Proceedings, 5th Course of the CERN Accelerator School, </w:t>
      </w:r>
      <w:proofErr w:type="spellStart"/>
      <w:r w:rsidRPr="00AD4087"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  <w:t>Rhodos</w:t>
      </w:r>
      <w:proofErr w:type="spellEnd"/>
      <w:r w:rsidRPr="00AD4087">
        <w:rPr>
          <w:rFonts w:ascii="Times New Roman" w:hAnsi="Times New Roman" w:cs="Times New Roman"/>
          <w:bCs/>
          <w:sz w:val="16"/>
          <w:szCs w:val="16"/>
          <w:shd w:val="clear" w:color="auto" w:fill="FFFFFF"/>
          <w:lang w:val="en-US"/>
        </w:rPr>
        <w:t>, Greece, September 20-October 1, 1993. Vol. 1, 2.</w:t>
      </w:r>
    </w:p>
    <w:sectPr w:rsidR="007379AB" w:rsidRPr="00847827" w:rsidSect="003C7D8C">
      <w:headerReference w:type="default" r:id="rId9"/>
      <w:pgSz w:w="8391" w:h="11907" w:code="11"/>
      <w:pgMar w:top="1304" w:right="1021" w:bottom="1418" w:left="964" w:header="85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97224" w:rsidRDefault="00297224">
      <w:pPr>
        <w:spacing w:after="0" w:line="240" w:lineRule="auto"/>
      </w:pPr>
      <w:r>
        <w:separator/>
      </w:r>
    </w:p>
  </w:endnote>
  <w:endnote w:type="continuationSeparator" w:id="0">
    <w:p w:rsidR="00297224" w:rsidRDefault="00297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Заголовки (сло">
    <w:altName w:val="Times New Roman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97224" w:rsidRDefault="00297224">
      <w:pPr>
        <w:spacing w:after="0" w:line="240" w:lineRule="auto"/>
      </w:pPr>
      <w:r>
        <w:separator/>
      </w:r>
    </w:p>
  </w:footnote>
  <w:footnote w:type="continuationSeparator" w:id="0">
    <w:p w:rsidR="00297224" w:rsidRDefault="00297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65F2" w:rsidRDefault="00E7237E">
    <w:pPr>
      <w:pStyle w:val="a4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555B5"/>
    <w:multiLevelType w:val="hybridMultilevel"/>
    <w:tmpl w:val="8CB8D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856CC"/>
    <w:multiLevelType w:val="hybridMultilevel"/>
    <w:tmpl w:val="238CF9E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D2"/>
    <w:rsid w:val="00036026"/>
    <w:rsid w:val="000739D0"/>
    <w:rsid w:val="000C747F"/>
    <w:rsid w:val="00264B03"/>
    <w:rsid w:val="00297224"/>
    <w:rsid w:val="002E59D2"/>
    <w:rsid w:val="0032506B"/>
    <w:rsid w:val="003C7D8C"/>
    <w:rsid w:val="003D0203"/>
    <w:rsid w:val="003E1BD8"/>
    <w:rsid w:val="00426CED"/>
    <w:rsid w:val="0044202E"/>
    <w:rsid w:val="00463BC5"/>
    <w:rsid w:val="006F2A0F"/>
    <w:rsid w:val="007379AB"/>
    <w:rsid w:val="00847827"/>
    <w:rsid w:val="00A41D7A"/>
    <w:rsid w:val="00AD4087"/>
    <w:rsid w:val="00C459CA"/>
    <w:rsid w:val="00C464C3"/>
    <w:rsid w:val="00D1088D"/>
    <w:rsid w:val="00D356AB"/>
    <w:rsid w:val="00E7237E"/>
    <w:rsid w:val="00EE3E0C"/>
    <w:rsid w:val="00F0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F24F3"/>
  <w15:chartTrackingRefBased/>
  <w15:docId w15:val="{79F8EE8A-BC82-1845-907C-F9E88121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Заголовки (сло"/>
        <w:spacing w:val="-10"/>
        <w:kern w:val="28"/>
        <w:sz w:val="56"/>
        <w:szCs w:val="56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9D2"/>
    <w:pPr>
      <w:spacing w:after="200" w:line="276" w:lineRule="auto"/>
    </w:pPr>
    <w:rPr>
      <w:rFonts w:asciiTheme="minorHAnsi" w:hAnsiTheme="minorHAnsi" w:cstheme="minorBidi"/>
      <w:spacing w:val="0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E59D2"/>
    <w:pPr>
      <w:autoSpaceDE w:val="0"/>
      <w:autoSpaceDN w:val="0"/>
      <w:adjustRightInd w:val="0"/>
    </w:pPr>
    <w:rPr>
      <w:rFonts w:cs="Times New Roman"/>
      <w:color w:val="000000"/>
      <w:spacing w:val="0"/>
      <w:kern w:val="0"/>
      <w:sz w:val="24"/>
      <w:szCs w:val="24"/>
    </w:rPr>
  </w:style>
  <w:style w:type="paragraph" w:customStyle="1" w:styleId="StyleTitleLeft005cm">
    <w:name w:val="Style Title + Left:  0.05 cm"/>
    <w:basedOn w:val="a3"/>
    <w:rsid w:val="002E59D2"/>
    <w:pPr>
      <w:spacing w:before="1588" w:after="567"/>
      <w:contextualSpacing w:val="0"/>
    </w:pPr>
    <w:rPr>
      <w:rFonts w:ascii="Times" w:eastAsia="Times New Roman" w:hAnsi="Times" w:cs="Times New Roman"/>
      <w:b/>
      <w:bCs/>
      <w:spacing w:val="0"/>
      <w:kern w:val="0"/>
      <w:sz w:val="34"/>
      <w:szCs w:val="20"/>
      <w:lang w:val="en-GB"/>
    </w:rPr>
  </w:style>
  <w:style w:type="paragraph" w:customStyle="1" w:styleId="Abstract">
    <w:name w:val="Abstract"/>
    <w:rsid w:val="002E59D2"/>
    <w:pPr>
      <w:spacing w:after="454"/>
      <w:ind w:left="1418"/>
      <w:jc w:val="both"/>
    </w:pPr>
    <w:rPr>
      <w:rFonts w:ascii="Times" w:eastAsia="Times New Roman" w:hAnsi="Times" w:cs="Times New Roman"/>
      <w:color w:val="000000"/>
      <w:spacing w:val="0"/>
      <w:kern w:val="0"/>
      <w:sz w:val="20"/>
      <w:szCs w:val="20"/>
      <w:lang w:val="en-GB"/>
    </w:rPr>
  </w:style>
  <w:style w:type="paragraph" w:styleId="a4">
    <w:name w:val="header"/>
    <w:basedOn w:val="a"/>
    <w:link w:val="a5"/>
    <w:uiPriority w:val="99"/>
    <w:unhideWhenUsed/>
    <w:rsid w:val="002E59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E59D2"/>
    <w:rPr>
      <w:rFonts w:asciiTheme="minorHAnsi" w:hAnsiTheme="minorHAnsi" w:cstheme="minorBidi"/>
      <w:spacing w:val="0"/>
      <w:kern w:val="0"/>
      <w:sz w:val="22"/>
      <w:szCs w:val="22"/>
    </w:rPr>
  </w:style>
  <w:style w:type="table" w:styleId="a6">
    <w:name w:val="Table Grid"/>
    <w:basedOn w:val="a1"/>
    <w:uiPriority w:val="59"/>
    <w:unhideWhenUsed/>
    <w:rsid w:val="002E59D2"/>
    <w:rPr>
      <w:rFonts w:asciiTheme="minorHAnsi" w:hAnsiTheme="minorHAnsi" w:cstheme="minorBidi"/>
      <w:spacing w:val="0"/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Title"/>
    <w:basedOn w:val="a"/>
    <w:next w:val="a"/>
    <w:link w:val="a7"/>
    <w:uiPriority w:val="10"/>
    <w:qFormat/>
    <w:rsid w:val="002E59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3"/>
    <w:uiPriority w:val="10"/>
    <w:rsid w:val="002E59D2"/>
    <w:rPr>
      <w:rFonts w:asciiTheme="majorHAnsi" w:eastAsiaTheme="majorEastAsia" w:hAnsiTheme="majorHAnsi" w:cstheme="majorBidi"/>
    </w:rPr>
  </w:style>
  <w:style w:type="paragraph" w:styleId="a8">
    <w:name w:val="caption"/>
    <w:basedOn w:val="a"/>
    <w:next w:val="a"/>
    <w:uiPriority w:val="35"/>
    <w:unhideWhenUsed/>
    <w:qFormat/>
    <w:rsid w:val="0044202E"/>
    <w:pPr>
      <w:spacing w:line="240" w:lineRule="auto"/>
    </w:pPr>
    <w:rPr>
      <w:rFonts w:ascii="Times New Roman" w:hAnsi="Times New Roman" w:cs="Times New Roman (Заголовки (сло"/>
      <w:i/>
      <w:iCs/>
      <w:color w:val="44546A" w:themeColor="text2"/>
      <w:spacing w:val="-10"/>
      <w:kern w:val="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7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2021-03-08T08:51:00Z</dcterms:created>
  <dcterms:modified xsi:type="dcterms:W3CDTF">2021-03-08T12:18:00Z</dcterms:modified>
</cp:coreProperties>
</file>