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1C1E" w14:textId="38E79950" w:rsidR="00071680" w:rsidRPr="006D4B86" w:rsidRDefault="00071680" w:rsidP="00071680">
      <w:pPr>
        <w:pStyle w:val="Default"/>
        <w:jc w:val="center"/>
        <w:rPr>
          <w:sz w:val="28"/>
          <w:szCs w:val="28"/>
        </w:rPr>
      </w:pPr>
      <w:r w:rsidRPr="00905F72">
        <w:rPr>
          <w:sz w:val="28"/>
          <w:szCs w:val="28"/>
        </w:rPr>
        <w:t>С.Д. КОЛОКОЛЬЧИКОВ</w:t>
      </w:r>
      <w:r w:rsidR="006D4B86" w:rsidRPr="006D4B86">
        <w:rPr>
          <w:sz w:val="28"/>
          <w:szCs w:val="28"/>
          <w:vertAlign w:val="superscript"/>
        </w:rPr>
        <w:t>1</w:t>
      </w:r>
      <w:r w:rsidRPr="00071680">
        <w:rPr>
          <w:sz w:val="28"/>
          <w:szCs w:val="28"/>
        </w:rPr>
        <w:t>, Ю.В. СЕНИЧЕВ</w:t>
      </w:r>
      <w:r w:rsidR="006D4B86" w:rsidRPr="006D4B86">
        <w:rPr>
          <w:sz w:val="28"/>
          <w:szCs w:val="28"/>
          <w:vertAlign w:val="superscript"/>
        </w:rPr>
        <w:t>1</w:t>
      </w:r>
      <w:r w:rsidRPr="00071680">
        <w:rPr>
          <w:sz w:val="28"/>
          <w:szCs w:val="28"/>
        </w:rPr>
        <w:t>, Е. М. СЫРЕСИН</w:t>
      </w:r>
      <w:r w:rsidR="006D4B86" w:rsidRPr="006D4B86">
        <w:rPr>
          <w:sz w:val="28"/>
          <w:szCs w:val="28"/>
          <w:vertAlign w:val="superscript"/>
        </w:rPr>
        <w:t>2</w:t>
      </w:r>
    </w:p>
    <w:p w14:paraId="20E3760E" w14:textId="77777777" w:rsidR="00071680" w:rsidRDefault="00071680" w:rsidP="00071680">
      <w:pPr>
        <w:pStyle w:val="Default"/>
        <w:jc w:val="center"/>
        <w:rPr>
          <w:sz w:val="22"/>
          <w:szCs w:val="20"/>
        </w:rPr>
      </w:pPr>
    </w:p>
    <w:p w14:paraId="304F1B20" w14:textId="27F155F3" w:rsidR="00071680" w:rsidRDefault="006D4B86" w:rsidP="00071680">
      <w:pPr>
        <w:pStyle w:val="Default"/>
        <w:jc w:val="center"/>
        <w:rPr>
          <w:bCs/>
          <w:i/>
          <w:color w:val="222222"/>
          <w:sz w:val="22"/>
          <w:szCs w:val="22"/>
          <w:shd w:val="clear" w:color="auto" w:fill="FFFFFF"/>
        </w:rPr>
      </w:pPr>
      <w:r w:rsidRPr="006D4B86">
        <w:rPr>
          <w:bCs/>
          <w:i/>
          <w:color w:val="222222"/>
          <w:sz w:val="22"/>
          <w:szCs w:val="22"/>
          <w:shd w:val="clear" w:color="auto" w:fill="FFFFFF"/>
          <w:vertAlign w:val="superscript"/>
        </w:rPr>
        <w:t>1</w:t>
      </w:r>
      <w:r w:rsidR="00071680" w:rsidRPr="00905F72">
        <w:rPr>
          <w:bCs/>
          <w:i/>
          <w:color w:val="222222"/>
          <w:sz w:val="22"/>
          <w:szCs w:val="22"/>
          <w:shd w:val="clear" w:color="auto" w:fill="FFFFFF"/>
        </w:rPr>
        <w:t>Институт ядерных исследований РАН, Москва, Россия</w:t>
      </w:r>
    </w:p>
    <w:p w14:paraId="2DB103E8" w14:textId="10BC3E06" w:rsidR="00071680" w:rsidRPr="00AA2EBA" w:rsidRDefault="006D4B86" w:rsidP="00071680">
      <w:pPr>
        <w:pStyle w:val="Default"/>
        <w:jc w:val="center"/>
        <w:rPr>
          <w:bCs/>
          <w:i/>
          <w:iCs/>
          <w:color w:val="222222"/>
          <w:sz w:val="22"/>
          <w:szCs w:val="22"/>
          <w:shd w:val="clear" w:color="auto" w:fill="FFFFFF"/>
        </w:rPr>
      </w:pPr>
      <w:r w:rsidRPr="00AA3F8F">
        <w:rPr>
          <w:i/>
          <w:iCs/>
          <w:sz w:val="22"/>
          <w:szCs w:val="22"/>
          <w:vertAlign w:val="superscript"/>
        </w:rPr>
        <w:t>2</w:t>
      </w:r>
      <w:r w:rsidR="00071680" w:rsidRPr="00071680">
        <w:rPr>
          <w:i/>
          <w:iCs/>
          <w:sz w:val="22"/>
          <w:szCs w:val="22"/>
        </w:rPr>
        <w:t>Объединённый институт ядреных исследований, Дубна</w:t>
      </w:r>
      <w:r w:rsidR="00AA2EBA" w:rsidRPr="00AA2EBA">
        <w:rPr>
          <w:i/>
          <w:iCs/>
          <w:sz w:val="22"/>
          <w:szCs w:val="22"/>
        </w:rPr>
        <w:t xml:space="preserve">, </w:t>
      </w:r>
      <w:r w:rsidR="00AA2EBA">
        <w:rPr>
          <w:i/>
          <w:iCs/>
          <w:sz w:val="22"/>
          <w:szCs w:val="22"/>
        </w:rPr>
        <w:t>Россия</w:t>
      </w:r>
    </w:p>
    <w:p w14:paraId="1D9730D4" w14:textId="77777777" w:rsidR="00071680" w:rsidRPr="00071680" w:rsidRDefault="00071680" w:rsidP="00071680">
      <w:pPr>
        <w:pStyle w:val="Default"/>
        <w:jc w:val="center"/>
        <w:rPr>
          <w:sz w:val="22"/>
          <w:szCs w:val="22"/>
        </w:rPr>
      </w:pPr>
    </w:p>
    <w:p w14:paraId="1F76D3AE" w14:textId="4672690D" w:rsidR="00071680" w:rsidRPr="00071680" w:rsidRDefault="00071680" w:rsidP="00071680">
      <w:pPr>
        <w:pStyle w:val="JACoWPaperTitle"/>
        <w:rPr>
          <w:sz w:val="32"/>
          <w:szCs w:val="32"/>
          <w:lang w:val="ru-RU"/>
        </w:rPr>
      </w:pPr>
      <w:r>
        <w:rPr>
          <w:sz w:val="32"/>
          <w:szCs w:val="32"/>
          <w:lang w:val="ru-RU"/>
        </w:rPr>
        <w:t>И</w:t>
      </w:r>
      <w:r w:rsidRPr="006C530D">
        <w:rPr>
          <w:sz w:val="32"/>
          <w:szCs w:val="32"/>
          <w:lang w:val="ru-RU"/>
        </w:rPr>
        <w:t>сследование</w:t>
      </w:r>
      <w:r w:rsidR="00C4483E" w:rsidRPr="00C4483E">
        <w:rPr>
          <w:sz w:val="32"/>
          <w:szCs w:val="32"/>
          <w:lang w:val="ru-RU"/>
        </w:rPr>
        <w:t xml:space="preserve"> </w:t>
      </w:r>
      <w:r w:rsidR="00C4483E">
        <w:rPr>
          <w:sz w:val="32"/>
          <w:szCs w:val="32"/>
          <w:lang w:val="ru-RU"/>
        </w:rPr>
        <w:t>продольной</w:t>
      </w:r>
      <w:r w:rsidRPr="006C530D">
        <w:rPr>
          <w:sz w:val="32"/>
          <w:szCs w:val="32"/>
          <w:lang w:val="ru-RU"/>
        </w:rPr>
        <w:t xml:space="preserve"> динамики пучка протонов при прохождении критической энергии с использованием</w:t>
      </w:r>
      <w:r w:rsidRPr="00071680">
        <w:rPr>
          <w:sz w:val="32"/>
          <w:szCs w:val="32"/>
          <w:lang w:val="ru-RU"/>
        </w:rPr>
        <w:t xml:space="preserve"> </w:t>
      </w:r>
      <w:r>
        <w:rPr>
          <w:sz w:val="32"/>
          <w:szCs w:val="32"/>
          <w:lang w:val="ru-RU"/>
        </w:rPr>
        <w:t>ВЧ структуры типа</w:t>
      </w:r>
      <w:r w:rsidRPr="006C530D">
        <w:rPr>
          <w:sz w:val="32"/>
          <w:szCs w:val="32"/>
          <w:lang w:val="ru-RU"/>
        </w:rPr>
        <w:t xml:space="preserve"> </w:t>
      </w:r>
      <w:r>
        <w:rPr>
          <w:sz w:val="32"/>
          <w:szCs w:val="32"/>
          <w:lang w:val="en-US"/>
        </w:rPr>
        <w:t>Barrier</w:t>
      </w:r>
      <w:r w:rsidRPr="006C530D">
        <w:rPr>
          <w:sz w:val="32"/>
          <w:szCs w:val="32"/>
          <w:lang w:val="ru-RU"/>
        </w:rPr>
        <w:t xml:space="preserve"> </w:t>
      </w:r>
      <w:r>
        <w:rPr>
          <w:sz w:val="32"/>
          <w:szCs w:val="32"/>
        </w:rPr>
        <w:t>B</w:t>
      </w:r>
      <w:r w:rsidRPr="006C530D">
        <w:rPr>
          <w:sz w:val="32"/>
          <w:szCs w:val="32"/>
        </w:rPr>
        <w:t>ucket</w:t>
      </w:r>
      <w:r w:rsidRPr="006C530D">
        <w:rPr>
          <w:sz w:val="32"/>
          <w:szCs w:val="32"/>
          <w:lang w:val="ru-RU"/>
        </w:rPr>
        <w:t xml:space="preserve"> в ускорительном комплексе </w:t>
      </w:r>
      <w:r>
        <w:rPr>
          <w:sz w:val="32"/>
          <w:szCs w:val="32"/>
        </w:rPr>
        <w:t>NICA</w:t>
      </w:r>
      <w:r w:rsidRPr="006C530D">
        <w:rPr>
          <w:sz w:val="32"/>
          <w:szCs w:val="32"/>
          <w:lang w:val="ru-RU"/>
        </w:rPr>
        <w:t>.</w:t>
      </w:r>
    </w:p>
    <w:p w14:paraId="2CA36A64" w14:textId="77777777" w:rsidR="00071680" w:rsidRPr="00905F72" w:rsidRDefault="00071680" w:rsidP="00071680">
      <w:pPr>
        <w:jc w:val="center"/>
        <w:rPr>
          <w:b/>
          <w:bCs/>
          <w:sz w:val="36"/>
          <w:szCs w:val="36"/>
        </w:rPr>
      </w:pPr>
    </w:p>
    <w:p w14:paraId="1435504D" w14:textId="1F0BBC10" w:rsidR="00071680" w:rsidRDefault="001C418E" w:rsidP="00071680">
      <w:pPr>
        <w:ind w:firstLine="708"/>
        <w:jc w:val="both"/>
        <w:rPr>
          <w:szCs w:val="24"/>
        </w:rPr>
      </w:pPr>
      <w:r>
        <w:rPr>
          <w:szCs w:val="24"/>
        </w:rPr>
        <w:t xml:space="preserve">Для сохранения устойчивости пучка при </w:t>
      </w:r>
      <w:r w:rsidR="00071680">
        <w:rPr>
          <w:szCs w:val="24"/>
        </w:rPr>
        <w:t>прохождени</w:t>
      </w:r>
      <w:r>
        <w:rPr>
          <w:szCs w:val="24"/>
        </w:rPr>
        <w:t>и</w:t>
      </w:r>
      <w:r w:rsidR="00071680">
        <w:rPr>
          <w:szCs w:val="24"/>
        </w:rPr>
        <w:t xml:space="preserve"> критической энергии при ускорении протонов до энергии эксперимента, </w:t>
      </w:r>
      <w:r w:rsidR="00FA3D7A">
        <w:rPr>
          <w:szCs w:val="24"/>
        </w:rPr>
        <w:t>возможен</w:t>
      </w:r>
      <w:r w:rsidR="00FA3D7A" w:rsidRPr="00FA3D7A">
        <w:rPr>
          <w:szCs w:val="24"/>
        </w:rPr>
        <w:t xml:space="preserve"> </w:t>
      </w:r>
      <w:r w:rsidR="00071680">
        <w:rPr>
          <w:szCs w:val="24"/>
        </w:rPr>
        <w:t>быстрый скачок критической энергии</w:t>
      </w:r>
      <w:r w:rsidR="00FA3D7A">
        <w:rPr>
          <w:szCs w:val="24"/>
        </w:rPr>
        <w:t>. Рассматривается динамика продольного движения в ВЧ</w:t>
      </w:r>
      <w:r w:rsidR="00FA3D7A" w:rsidRPr="00FA3D7A">
        <w:rPr>
          <w:szCs w:val="24"/>
        </w:rPr>
        <w:t xml:space="preserve"> </w:t>
      </w:r>
      <w:r w:rsidR="00FA3D7A">
        <w:rPr>
          <w:szCs w:val="24"/>
        </w:rPr>
        <w:t xml:space="preserve">структуре типа </w:t>
      </w:r>
      <w:r w:rsidR="00FA3D7A">
        <w:rPr>
          <w:szCs w:val="24"/>
          <w:lang w:val="en-US"/>
        </w:rPr>
        <w:t>Barrier</w:t>
      </w:r>
      <w:r w:rsidR="00FA3D7A" w:rsidRPr="00FA3D7A">
        <w:rPr>
          <w:szCs w:val="24"/>
        </w:rPr>
        <w:t xml:space="preserve"> </w:t>
      </w:r>
      <w:r w:rsidR="00FA3D7A">
        <w:rPr>
          <w:szCs w:val="24"/>
          <w:lang w:val="en-US"/>
        </w:rPr>
        <w:t>Bucket</w:t>
      </w:r>
      <w:r w:rsidR="00FA3D7A">
        <w:rPr>
          <w:szCs w:val="24"/>
        </w:rPr>
        <w:t xml:space="preserve"> с учетом влияния второго порядка </w:t>
      </w:r>
      <w:r w:rsidR="00FA3D7A">
        <w:rPr>
          <w:szCs w:val="24"/>
          <w:lang w:val="en-US"/>
        </w:rPr>
        <w:t>slip</w:t>
      </w:r>
      <w:r w:rsidR="00FA3D7A" w:rsidRPr="00FA3D7A">
        <w:rPr>
          <w:szCs w:val="24"/>
        </w:rPr>
        <w:t>-</w:t>
      </w:r>
      <w:r w:rsidR="00FA3D7A">
        <w:rPr>
          <w:szCs w:val="24"/>
        </w:rPr>
        <w:t>фактора</w:t>
      </w:r>
      <w:r w:rsidR="00FA3D7A" w:rsidRPr="00FA3D7A">
        <w:rPr>
          <w:szCs w:val="24"/>
        </w:rPr>
        <w:t xml:space="preserve">, </w:t>
      </w:r>
      <w:r w:rsidR="00FA3D7A">
        <w:rPr>
          <w:szCs w:val="24"/>
        </w:rPr>
        <w:t xml:space="preserve">а также пространственного заряда. Исследована динамическая апертура для </w:t>
      </w:r>
      <w:r w:rsidR="00254429">
        <w:rPr>
          <w:szCs w:val="24"/>
        </w:rPr>
        <w:t>различных градиентов фокусирующих линз</w:t>
      </w:r>
      <w:r w:rsidR="00FA3D7A">
        <w:rPr>
          <w:szCs w:val="24"/>
        </w:rPr>
        <w:t xml:space="preserve">, необходимых </w:t>
      </w:r>
      <w:r w:rsidR="00254429">
        <w:rPr>
          <w:szCs w:val="24"/>
        </w:rPr>
        <w:t>для соответствующего изменения набега фазы и скачка критической энергии.</w:t>
      </w:r>
    </w:p>
    <w:p w14:paraId="509182C9" w14:textId="77777777" w:rsidR="00AA3F8F" w:rsidRDefault="00AA3F8F" w:rsidP="00AA3F8F">
      <w:pPr>
        <w:jc w:val="both"/>
        <w:rPr>
          <w:szCs w:val="24"/>
        </w:rPr>
      </w:pPr>
    </w:p>
    <w:p w14:paraId="25B669D1" w14:textId="6206467F" w:rsidR="00AA3F8F" w:rsidRDefault="00AA3F8F" w:rsidP="00071680">
      <w:pPr>
        <w:ind w:firstLine="708"/>
        <w:jc w:val="both"/>
        <w:rPr>
          <w:szCs w:val="24"/>
        </w:rPr>
      </w:pPr>
    </w:p>
    <w:p w14:paraId="08F7FFBF" w14:textId="1F31CAE2" w:rsidR="00AA3F8F" w:rsidRPr="006D4B86" w:rsidRDefault="00AA3F8F" w:rsidP="00AA3F8F">
      <w:pPr>
        <w:pStyle w:val="Default"/>
        <w:jc w:val="center"/>
        <w:rPr>
          <w:sz w:val="28"/>
          <w:szCs w:val="28"/>
        </w:rPr>
      </w:pPr>
      <w:r>
        <w:rPr>
          <w:sz w:val="28"/>
          <w:szCs w:val="28"/>
          <w:lang w:val="en-US"/>
        </w:rPr>
        <w:t>S</w:t>
      </w:r>
      <w:r w:rsidRPr="00905F72">
        <w:rPr>
          <w:sz w:val="28"/>
          <w:szCs w:val="28"/>
        </w:rPr>
        <w:t>.</w:t>
      </w:r>
      <w:r>
        <w:rPr>
          <w:sz w:val="28"/>
          <w:szCs w:val="28"/>
          <w:lang w:val="en-US"/>
        </w:rPr>
        <w:t>D</w:t>
      </w:r>
      <w:r w:rsidRPr="00905F72">
        <w:rPr>
          <w:sz w:val="28"/>
          <w:szCs w:val="28"/>
        </w:rPr>
        <w:t xml:space="preserve">. </w:t>
      </w:r>
      <w:r>
        <w:rPr>
          <w:sz w:val="28"/>
          <w:szCs w:val="28"/>
          <w:lang w:val="en-US"/>
        </w:rPr>
        <w:t>KOLOKOLCHIKOV</w:t>
      </w:r>
      <w:r w:rsidRPr="006D4B86">
        <w:rPr>
          <w:sz w:val="28"/>
          <w:szCs w:val="28"/>
          <w:vertAlign w:val="superscript"/>
        </w:rPr>
        <w:t>1</w:t>
      </w:r>
      <w:r w:rsidRPr="00071680">
        <w:rPr>
          <w:sz w:val="28"/>
          <w:szCs w:val="28"/>
        </w:rPr>
        <w:t xml:space="preserve">, </w:t>
      </w:r>
      <w:r>
        <w:rPr>
          <w:sz w:val="28"/>
          <w:szCs w:val="28"/>
          <w:lang w:val="en-US"/>
        </w:rPr>
        <w:t>Yu</w:t>
      </w:r>
      <w:r w:rsidRPr="00071680">
        <w:rPr>
          <w:sz w:val="28"/>
          <w:szCs w:val="28"/>
        </w:rPr>
        <w:t>.</w:t>
      </w:r>
      <w:r>
        <w:rPr>
          <w:sz w:val="28"/>
          <w:szCs w:val="28"/>
          <w:lang w:val="en-US"/>
        </w:rPr>
        <w:t>V</w:t>
      </w:r>
      <w:r w:rsidRPr="00071680">
        <w:rPr>
          <w:sz w:val="28"/>
          <w:szCs w:val="28"/>
        </w:rPr>
        <w:t xml:space="preserve">. </w:t>
      </w:r>
      <w:r>
        <w:rPr>
          <w:sz w:val="28"/>
          <w:szCs w:val="28"/>
          <w:lang w:val="en-US"/>
        </w:rPr>
        <w:t>SENICHEV</w:t>
      </w:r>
      <w:r w:rsidRPr="006D4B86">
        <w:rPr>
          <w:sz w:val="28"/>
          <w:szCs w:val="28"/>
          <w:vertAlign w:val="superscript"/>
        </w:rPr>
        <w:t>1</w:t>
      </w:r>
      <w:r w:rsidRPr="00071680">
        <w:rPr>
          <w:sz w:val="28"/>
          <w:szCs w:val="28"/>
        </w:rPr>
        <w:t xml:space="preserve">, </w:t>
      </w:r>
      <w:r>
        <w:rPr>
          <w:sz w:val="28"/>
          <w:szCs w:val="28"/>
          <w:lang w:val="en-US"/>
        </w:rPr>
        <w:t>E</w:t>
      </w:r>
      <w:r w:rsidRPr="00071680">
        <w:rPr>
          <w:sz w:val="28"/>
          <w:szCs w:val="28"/>
        </w:rPr>
        <w:t xml:space="preserve">. </w:t>
      </w:r>
      <w:r>
        <w:rPr>
          <w:sz w:val="28"/>
          <w:szCs w:val="28"/>
          <w:lang w:val="en-US"/>
        </w:rPr>
        <w:t>M</w:t>
      </w:r>
      <w:r w:rsidRPr="00071680">
        <w:rPr>
          <w:sz w:val="28"/>
          <w:szCs w:val="28"/>
        </w:rPr>
        <w:t xml:space="preserve">. </w:t>
      </w:r>
      <w:r>
        <w:rPr>
          <w:sz w:val="28"/>
          <w:szCs w:val="28"/>
          <w:lang w:val="en-US"/>
        </w:rPr>
        <w:t>SYRESIN</w:t>
      </w:r>
      <w:r w:rsidRPr="006D4B86">
        <w:rPr>
          <w:sz w:val="28"/>
          <w:szCs w:val="28"/>
          <w:vertAlign w:val="superscript"/>
        </w:rPr>
        <w:t>2</w:t>
      </w:r>
    </w:p>
    <w:p w14:paraId="2A648946" w14:textId="77777777" w:rsidR="00AA3F8F" w:rsidRPr="00AA3F8F" w:rsidRDefault="00AA3F8F" w:rsidP="00AA3F8F">
      <w:pPr>
        <w:pStyle w:val="Default"/>
        <w:rPr>
          <w:i/>
          <w:iCs/>
        </w:rPr>
      </w:pPr>
    </w:p>
    <w:p w14:paraId="21D65FD5" w14:textId="0D7CEAE6" w:rsidR="00AA3F8F" w:rsidRPr="00AA3F8F" w:rsidRDefault="00AA3F8F" w:rsidP="00AA3F8F">
      <w:pPr>
        <w:pStyle w:val="Default"/>
        <w:jc w:val="center"/>
        <w:rPr>
          <w:i/>
          <w:iCs/>
          <w:sz w:val="22"/>
          <w:szCs w:val="22"/>
          <w:lang w:val="en-US"/>
        </w:rPr>
      </w:pPr>
      <w:r w:rsidRPr="008F1555">
        <w:rPr>
          <w:i/>
          <w:iCs/>
        </w:rPr>
        <w:t xml:space="preserve"> </w:t>
      </w:r>
      <w:r w:rsidRPr="00AA3F8F">
        <w:rPr>
          <w:i/>
          <w:iCs/>
          <w:sz w:val="22"/>
          <w:szCs w:val="22"/>
          <w:vertAlign w:val="superscript"/>
          <w:lang w:val="en-US"/>
        </w:rPr>
        <w:t>1</w:t>
      </w:r>
      <w:r w:rsidRPr="00AA3F8F">
        <w:rPr>
          <w:i/>
          <w:iCs/>
          <w:sz w:val="22"/>
          <w:szCs w:val="22"/>
          <w:lang w:val="en-US"/>
        </w:rPr>
        <w:t xml:space="preserve">Institute of Nuclear Researches RAS, </w:t>
      </w:r>
      <w:r w:rsidRPr="00AA3F8F">
        <w:rPr>
          <w:i/>
          <w:iCs/>
          <w:sz w:val="22"/>
          <w:szCs w:val="22"/>
        </w:rPr>
        <w:t>М</w:t>
      </w:r>
      <w:r w:rsidRPr="00AA3F8F">
        <w:rPr>
          <w:i/>
          <w:iCs/>
          <w:sz w:val="22"/>
          <w:szCs w:val="22"/>
          <w:lang w:val="en-US"/>
        </w:rPr>
        <w:t>oscow</w:t>
      </w:r>
      <w:r>
        <w:rPr>
          <w:i/>
          <w:iCs/>
          <w:sz w:val="22"/>
          <w:szCs w:val="22"/>
          <w:lang w:val="en-US"/>
        </w:rPr>
        <w:t>, Russia</w:t>
      </w:r>
      <w:r w:rsidRPr="00AA3F8F">
        <w:rPr>
          <w:i/>
          <w:iCs/>
          <w:sz w:val="22"/>
          <w:szCs w:val="22"/>
          <w:lang w:val="en-US"/>
        </w:rPr>
        <w:t xml:space="preserve"> </w:t>
      </w:r>
    </w:p>
    <w:p w14:paraId="27C9563B" w14:textId="13E16AC3" w:rsidR="00AA3F8F" w:rsidRPr="00AA3F8F" w:rsidRDefault="00AA3F8F" w:rsidP="00AA3F8F">
      <w:pPr>
        <w:pStyle w:val="Default"/>
        <w:jc w:val="center"/>
        <w:rPr>
          <w:i/>
          <w:iCs/>
          <w:sz w:val="22"/>
          <w:szCs w:val="22"/>
          <w:lang w:val="en-US"/>
        </w:rPr>
      </w:pPr>
      <w:r w:rsidRPr="00AA3F8F">
        <w:rPr>
          <w:i/>
          <w:iCs/>
          <w:sz w:val="22"/>
          <w:szCs w:val="22"/>
          <w:vertAlign w:val="superscript"/>
          <w:lang w:val="en-US"/>
        </w:rPr>
        <w:t>2</w:t>
      </w:r>
      <w:r w:rsidRPr="00AA3F8F">
        <w:rPr>
          <w:i/>
          <w:iCs/>
          <w:sz w:val="22"/>
          <w:szCs w:val="22"/>
          <w:lang w:val="en-US"/>
        </w:rPr>
        <w:t>Joint Institute for Nuclear Researches, Dubna</w:t>
      </w:r>
      <w:r>
        <w:rPr>
          <w:i/>
          <w:iCs/>
          <w:sz w:val="22"/>
          <w:szCs w:val="22"/>
          <w:lang w:val="en-US"/>
        </w:rPr>
        <w:t>, Russia</w:t>
      </w:r>
    </w:p>
    <w:p w14:paraId="1FD5BB92" w14:textId="77777777" w:rsidR="00AA3F8F" w:rsidRPr="00AA3F8F" w:rsidRDefault="00AA3F8F" w:rsidP="00AA3F8F">
      <w:pPr>
        <w:pStyle w:val="Default"/>
        <w:jc w:val="center"/>
        <w:rPr>
          <w:bCs/>
          <w:i/>
          <w:color w:val="222222"/>
          <w:sz w:val="22"/>
          <w:szCs w:val="22"/>
          <w:shd w:val="clear" w:color="auto" w:fill="FFFFFF"/>
          <w:lang w:val="en-US"/>
        </w:rPr>
      </w:pPr>
    </w:p>
    <w:p w14:paraId="0D38B832" w14:textId="77777777" w:rsidR="008F1555" w:rsidRPr="0077350E" w:rsidRDefault="008F1555" w:rsidP="008F1555">
      <w:pPr>
        <w:jc w:val="center"/>
        <w:rPr>
          <w:rFonts w:eastAsiaTheme="majorEastAsia" w:cstheme="majorBidi"/>
          <w:b/>
          <w:iCs/>
          <w:spacing w:val="0"/>
          <w:kern w:val="0"/>
          <w:sz w:val="32"/>
          <w:szCs w:val="32"/>
          <w:lang w:val="en-US"/>
        </w:rPr>
      </w:pPr>
      <w:r w:rsidRPr="008F1555">
        <w:rPr>
          <w:rFonts w:eastAsiaTheme="majorEastAsia" w:cstheme="majorBidi"/>
          <w:b/>
          <w:iCs/>
          <w:spacing w:val="0"/>
          <w:kern w:val="0"/>
          <w:sz w:val="32"/>
          <w:szCs w:val="32"/>
          <w:lang w:val="en-US"/>
        </w:rPr>
        <w:t>Acceleration and crossing of transition energy investigation using an RF structure of the Barrier Bucket type in the NICA accelerator complex</w:t>
      </w:r>
      <w:r w:rsidRPr="0077350E">
        <w:rPr>
          <w:rFonts w:eastAsiaTheme="majorEastAsia" w:cstheme="majorBidi"/>
          <w:b/>
          <w:iCs/>
          <w:spacing w:val="0"/>
          <w:kern w:val="0"/>
          <w:sz w:val="32"/>
          <w:szCs w:val="32"/>
          <w:lang w:val="en-US"/>
        </w:rPr>
        <w:t>.</w:t>
      </w:r>
    </w:p>
    <w:p w14:paraId="4D8693D3" w14:textId="77777777" w:rsidR="0033236E" w:rsidRDefault="00133332" w:rsidP="003F3448">
      <w:pPr>
        <w:jc w:val="both"/>
        <w:rPr>
          <w:szCs w:val="24"/>
          <w:lang w:val="en-US"/>
        </w:rPr>
      </w:pPr>
      <w:r>
        <w:rPr>
          <w:szCs w:val="24"/>
          <w:lang w:val="en-US"/>
        </w:rPr>
        <w:t xml:space="preserve"> </w:t>
      </w:r>
    </w:p>
    <w:p w14:paraId="25CB7298" w14:textId="35DBD4FC" w:rsidR="00AA3F8F" w:rsidRPr="00C4483E" w:rsidRDefault="003F3448" w:rsidP="0033236E">
      <w:pPr>
        <w:ind w:firstLine="708"/>
        <w:jc w:val="both"/>
        <w:rPr>
          <w:szCs w:val="24"/>
          <w:lang w:val="en-US"/>
        </w:rPr>
      </w:pPr>
      <w:r w:rsidRPr="003F3448">
        <w:rPr>
          <w:szCs w:val="24"/>
          <w:lang w:val="en-US"/>
        </w:rPr>
        <w:t>The dynamic of longitudinal motion in Barrier Bucket RF structure is considered. To preserve the stability of the proton beam during the acceleration to the experiment energy it is necessary to cross the transition energy and a rapid jump of transition energy is possible. The influence of the second-order slip factor is taking into account, as well as the space charge effect. The dynamic aperture is investigated for various gradients of focusing quadrupoles and corresponding working points which is necessary for transition crossing.</w:t>
      </w:r>
    </w:p>
    <w:p w14:paraId="6D3FF591" w14:textId="77777777" w:rsidR="00426CED" w:rsidRPr="00C4483E" w:rsidRDefault="00426CED">
      <w:pPr>
        <w:rPr>
          <w:lang w:val="en-US"/>
        </w:rPr>
      </w:pPr>
    </w:p>
    <w:sectPr w:rsidR="00426CED" w:rsidRPr="00C448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Заголовки (сло">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80"/>
    <w:rsid w:val="00071680"/>
    <w:rsid w:val="00133332"/>
    <w:rsid w:val="001C418E"/>
    <w:rsid w:val="00254429"/>
    <w:rsid w:val="0033236E"/>
    <w:rsid w:val="003F3448"/>
    <w:rsid w:val="003F4C38"/>
    <w:rsid w:val="00426CED"/>
    <w:rsid w:val="00455B81"/>
    <w:rsid w:val="004907CE"/>
    <w:rsid w:val="00556E64"/>
    <w:rsid w:val="005F3946"/>
    <w:rsid w:val="006D4B86"/>
    <w:rsid w:val="0077350E"/>
    <w:rsid w:val="00834622"/>
    <w:rsid w:val="00870C54"/>
    <w:rsid w:val="008F1555"/>
    <w:rsid w:val="00AA2EBA"/>
    <w:rsid w:val="00AA3F8F"/>
    <w:rsid w:val="00C4483E"/>
    <w:rsid w:val="00F430F6"/>
    <w:rsid w:val="00FA3D7A"/>
    <w:rsid w:val="00FE3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375D2A0"/>
  <w15:chartTrackingRefBased/>
  <w15:docId w15:val="{681ECA1C-B8D1-8A41-B35D-AC93749A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Заголовки (сло"/>
        <w:spacing w:val="-10"/>
        <w:kern w:val="28"/>
        <w:sz w:val="56"/>
        <w:szCs w:val="56"/>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680"/>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71680"/>
    <w:pPr>
      <w:autoSpaceDE w:val="0"/>
      <w:autoSpaceDN w:val="0"/>
      <w:adjustRightInd w:val="0"/>
    </w:pPr>
    <w:rPr>
      <w:rFonts w:cs="Times New Roman"/>
      <w:color w:val="000000"/>
      <w:kern w:val="0"/>
      <w:sz w:val="24"/>
      <w:szCs w:val="24"/>
    </w:rPr>
  </w:style>
  <w:style w:type="paragraph" w:customStyle="1" w:styleId="JACoWPaperTitle">
    <w:name w:val="JACoW_Paper Title"/>
    <w:next w:val="a"/>
    <w:autoRedefine/>
    <w:qFormat/>
    <w:rsid w:val="00071680"/>
    <w:pPr>
      <w:suppressLineNumbers/>
      <w:spacing w:after="60"/>
      <w:jc w:val="center"/>
    </w:pPr>
    <w:rPr>
      <w:rFonts w:eastAsiaTheme="majorEastAsia" w:cstheme="majorBidi"/>
      <w:b/>
      <w:iCs/>
      <w:spacing w:val="0"/>
      <w:kern w:val="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2022-01-02T16:26:00Z</dcterms:created>
  <dcterms:modified xsi:type="dcterms:W3CDTF">2022-01-02T16:26:00Z</dcterms:modified>
</cp:coreProperties>
</file>