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523426" w14:textId="5B85253D" w:rsidR="003D29EA" w:rsidRPr="000E65F2" w:rsidRDefault="003D29EA" w:rsidP="003D29EA">
      <w:pPr>
        <w:pStyle w:val="Default"/>
        <w:jc w:val="center"/>
        <w:rPr>
          <w:sz w:val="22"/>
          <w:szCs w:val="20"/>
        </w:rPr>
      </w:pPr>
      <w:r>
        <w:rPr>
          <w:sz w:val="22"/>
          <w:szCs w:val="20"/>
        </w:rPr>
        <w:t>С</w:t>
      </w:r>
      <w:r w:rsidRPr="000E65F2">
        <w:rPr>
          <w:sz w:val="22"/>
          <w:szCs w:val="20"/>
        </w:rPr>
        <w:t>.</w:t>
      </w:r>
      <w:r>
        <w:rPr>
          <w:sz w:val="22"/>
          <w:szCs w:val="20"/>
        </w:rPr>
        <w:t>Д</w:t>
      </w:r>
      <w:r w:rsidRPr="000E65F2">
        <w:rPr>
          <w:sz w:val="22"/>
          <w:szCs w:val="20"/>
        </w:rPr>
        <w:t xml:space="preserve">. </w:t>
      </w:r>
      <w:r>
        <w:rPr>
          <w:sz w:val="22"/>
          <w:szCs w:val="20"/>
        </w:rPr>
        <w:t>КОЛОКОЛЬЧИКОВ</w:t>
      </w:r>
      <w:r w:rsidRPr="000E65F2">
        <w:rPr>
          <w:sz w:val="22"/>
          <w:szCs w:val="20"/>
        </w:rPr>
        <w:t>,</w:t>
      </w:r>
      <w:r>
        <w:rPr>
          <w:sz w:val="22"/>
          <w:szCs w:val="20"/>
        </w:rPr>
        <w:t xml:space="preserve"> Ю</w:t>
      </w:r>
      <w:r w:rsidRPr="000E65F2">
        <w:rPr>
          <w:sz w:val="22"/>
          <w:szCs w:val="20"/>
        </w:rPr>
        <w:t>.</w:t>
      </w:r>
      <w:r>
        <w:rPr>
          <w:sz w:val="22"/>
          <w:szCs w:val="20"/>
        </w:rPr>
        <w:t>В</w:t>
      </w:r>
      <w:r w:rsidRPr="003D29EA">
        <w:rPr>
          <w:sz w:val="22"/>
          <w:szCs w:val="20"/>
        </w:rPr>
        <w:t xml:space="preserve">. </w:t>
      </w:r>
      <w:r>
        <w:rPr>
          <w:sz w:val="22"/>
          <w:szCs w:val="20"/>
        </w:rPr>
        <w:t>СЕНИЧЕВ</w:t>
      </w:r>
    </w:p>
    <w:p w14:paraId="7BA771F7" w14:textId="721924DB" w:rsidR="003D29EA" w:rsidRDefault="003D29EA" w:rsidP="003D29EA">
      <w:pPr>
        <w:spacing w:after="0" w:line="240" w:lineRule="auto"/>
        <w:jc w:val="center"/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</w:pPr>
      <w:r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  <w:t>Институт Ядерных Исследований (Российской Академии Наук)</w:t>
      </w:r>
      <w:r w:rsidRPr="000E65F2">
        <w:rPr>
          <w:rFonts w:ascii="Times New Roman" w:hAnsi="Times New Roman" w:cs="Times New Roman"/>
          <w:bCs/>
          <w:i/>
          <w:color w:val="222222"/>
          <w:sz w:val="18"/>
          <w:szCs w:val="20"/>
          <w:shd w:val="clear" w:color="auto" w:fill="FFFFFF"/>
        </w:rPr>
        <w:t>, Москва, Россия</w:t>
      </w:r>
    </w:p>
    <w:p w14:paraId="4B3D45C8" w14:textId="08AAF5EE" w:rsidR="00F76EB5" w:rsidRDefault="00F76EB5" w:rsidP="00105376">
      <w:pPr>
        <w:spacing w:after="0" w:line="240" w:lineRule="auto"/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</w:p>
    <w:p w14:paraId="691EFE1A" w14:textId="6C040173" w:rsidR="00F76EB5" w:rsidRPr="003D29EA" w:rsidRDefault="000D5459" w:rsidP="003D29E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</w:pPr>
      <w:r w:rsidRPr="000D545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ОСНОВНЫЕ АРГУМЕНТЫ В ПОЛЬЗУ</w:t>
      </w:r>
      <w:r w:rsidR="009F563D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ПРОХОЖДЕНИЯ</w:t>
      </w:r>
      <w:r w:rsidRPr="000D545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 И ПОВЫШЕНИЯ 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 xml:space="preserve">КРИТИЧЕСКОЙ </w:t>
      </w:r>
      <w:r w:rsidRPr="000D545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ЭНЕРГИИ СИНХРОТРОН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А</w:t>
      </w:r>
      <w:r w:rsidRPr="000D545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</w:rPr>
        <w:t>.</w:t>
      </w:r>
    </w:p>
    <w:p w14:paraId="36EAE7FB" w14:textId="77777777" w:rsidR="003D29EA" w:rsidRPr="007D0681" w:rsidRDefault="003D29EA" w:rsidP="003D29EA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0"/>
          <w:shd w:val="clear" w:color="auto" w:fill="FFFFFF"/>
        </w:rPr>
      </w:pPr>
    </w:p>
    <w:p w14:paraId="6CD255BB" w14:textId="069AEAF0" w:rsidR="003D29EA" w:rsidRPr="00672F68" w:rsidRDefault="00672F68" w:rsidP="00672F68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szCs w:val="24"/>
        </w:rPr>
      </w:pPr>
      <w:r>
        <w:rPr>
          <w:rFonts w:ascii="Times New Roman" w:hAnsi="Times New Roman" w:cs="Times New Roman"/>
          <w:sz w:val="18"/>
          <w:szCs w:val="24"/>
        </w:rPr>
        <w:t>Прохождение критической энергии требует особого внимания для сохранения устойчивости движения пучка</w:t>
      </w:r>
      <w:r w:rsidRPr="00672F68">
        <w:rPr>
          <w:rFonts w:ascii="Times New Roman" w:hAnsi="Times New Roman" w:cs="Times New Roman"/>
          <w:sz w:val="18"/>
          <w:szCs w:val="24"/>
        </w:rPr>
        <w:t xml:space="preserve"> </w:t>
      </w:r>
      <w:r>
        <w:rPr>
          <w:rFonts w:ascii="Times New Roman" w:hAnsi="Times New Roman" w:cs="Times New Roman"/>
          <w:sz w:val="18"/>
          <w:szCs w:val="24"/>
        </w:rPr>
        <w:t>при ускорении до энергии эксперимента</w:t>
      </w:r>
      <w:r w:rsidRPr="00672F68">
        <w:rPr>
          <w:rFonts w:ascii="Times New Roman" w:hAnsi="Times New Roman" w:cs="Times New Roman"/>
          <w:sz w:val="18"/>
          <w:szCs w:val="24"/>
        </w:rPr>
        <w:t>.</w:t>
      </w:r>
      <w:r>
        <w:rPr>
          <w:rFonts w:ascii="Times New Roman" w:hAnsi="Times New Roman" w:cs="Times New Roman"/>
          <w:sz w:val="18"/>
          <w:szCs w:val="24"/>
        </w:rPr>
        <w:t xml:space="preserve"> </w:t>
      </w:r>
      <w:r w:rsidR="00AF343B">
        <w:rPr>
          <w:rFonts w:ascii="Times New Roman" w:hAnsi="Times New Roman" w:cs="Times New Roman"/>
          <w:sz w:val="18"/>
          <w:szCs w:val="24"/>
        </w:rPr>
        <w:t xml:space="preserve">Рассмотрены возможные методы прохождения критической энергии в синхротроне на примере ускорительного комплекса </w:t>
      </w:r>
      <w:r w:rsidR="00AF343B">
        <w:rPr>
          <w:rFonts w:ascii="Times New Roman" w:hAnsi="Times New Roman" w:cs="Times New Roman"/>
          <w:sz w:val="18"/>
          <w:szCs w:val="24"/>
          <w:lang w:val="en-US"/>
        </w:rPr>
        <w:t>NICA</w:t>
      </w:r>
      <w:r w:rsidR="00AF343B">
        <w:rPr>
          <w:rFonts w:ascii="Times New Roman" w:hAnsi="Times New Roman" w:cs="Times New Roman"/>
          <w:sz w:val="18"/>
          <w:szCs w:val="24"/>
        </w:rPr>
        <w:t>, расположенного в Дубне</w:t>
      </w:r>
      <w:r w:rsidR="00AF343B" w:rsidRPr="00AF343B">
        <w:rPr>
          <w:rFonts w:ascii="Times New Roman" w:hAnsi="Times New Roman" w:cs="Times New Roman"/>
          <w:sz w:val="18"/>
          <w:szCs w:val="24"/>
        </w:rPr>
        <w:t xml:space="preserve">, </w:t>
      </w:r>
      <w:r w:rsidR="00AF343B">
        <w:rPr>
          <w:rFonts w:ascii="Times New Roman" w:hAnsi="Times New Roman" w:cs="Times New Roman"/>
          <w:sz w:val="18"/>
          <w:szCs w:val="24"/>
        </w:rPr>
        <w:t>Россия</w:t>
      </w:r>
      <w:r w:rsidR="003D29EA" w:rsidRPr="000E65F2">
        <w:rPr>
          <w:rFonts w:ascii="Times New Roman" w:hAnsi="Times New Roman" w:cs="Times New Roman"/>
          <w:sz w:val="18"/>
          <w:szCs w:val="24"/>
        </w:rPr>
        <w:t>.</w:t>
      </w:r>
      <w:r w:rsidR="00AF343B">
        <w:rPr>
          <w:rFonts w:ascii="Times New Roman" w:hAnsi="Times New Roman" w:cs="Times New Roman"/>
          <w:sz w:val="18"/>
          <w:szCs w:val="24"/>
        </w:rPr>
        <w:t xml:space="preserve"> </w:t>
      </w:r>
    </w:p>
    <w:p w14:paraId="5C2FE70F" w14:textId="77777777" w:rsidR="003D29EA" w:rsidRPr="007D0681" w:rsidRDefault="003D29EA" w:rsidP="003D29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8"/>
        </w:rPr>
      </w:pPr>
    </w:p>
    <w:p w14:paraId="34C01BAB" w14:textId="4E6DB005" w:rsidR="003D29EA" w:rsidRPr="00BA300F" w:rsidRDefault="003D29EA" w:rsidP="003D29EA">
      <w:pPr>
        <w:pStyle w:val="Abstract"/>
        <w:spacing w:after="0"/>
        <w:ind w:left="0" w:firstLine="284"/>
        <w:jc w:val="center"/>
        <w:rPr>
          <w:rFonts w:ascii="Times New Roman" w:hAnsi="Times New Roman"/>
          <w:sz w:val="22"/>
          <w:lang w:val="ru-RU"/>
        </w:rPr>
      </w:pPr>
      <w:r>
        <w:rPr>
          <w:rFonts w:ascii="Times New Roman" w:hAnsi="Times New Roman"/>
          <w:sz w:val="22"/>
          <w:lang w:val="en-US"/>
        </w:rPr>
        <w:t>S</w:t>
      </w:r>
      <w:r w:rsidRPr="000E65F2">
        <w:rPr>
          <w:rFonts w:ascii="Times New Roman" w:hAnsi="Times New Roman"/>
          <w:sz w:val="22"/>
          <w:lang w:val="ru-RU"/>
        </w:rPr>
        <w:t>.</w:t>
      </w:r>
      <w:r>
        <w:rPr>
          <w:rFonts w:ascii="Times New Roman" w:hAnsi="Times New Roman"/>
          <w:sz w:val="22"/>
        </w:rPr>
        <w:t>D</w:t>
      </w:r>
      <w:r w:rsidRPr="000E65F2">
        <w:rPr>
          <w:rFonts w:ascii="Times New Roman" w:hAnsi="Times New Roman"/>
          <w:sz w:val="22"/>
          <w:lang w:val="ru-RU"/>
        </w:rPr>
        <w:t>.</w:t>
      </w:r>
      <w:r w:rsidRPr="003D29EA">
        <w:rPr>
          <w:rFonts w:ascii="Times New Roman" w:hAnsi="Times New Roman"/>
          <w:sz w:val="22"/>
          <w:lang w:val="ru-RU"/>
        </w:rPr>
        <w:t xml:space="preserve"> </w:t>
      </w:r>
      <w:r>
        <w:rPr>
          <w:rFonts w:ascii="Times New Roman" w:hAnsi="Times New Roman"/>
          <w:sz w:val="22"/>
          <w:lang w:val="en-US"/>
        </w:rPr>
        <w:t>KOLOKOLCHIKOV</w:t>
      </w:r>
      <w:r w:rsidRPr="000E65F2">
        <w:rPr>
          <w:rFonts w:ascii="Times New Roman" w:hAnsi="Times New Roman"/>
          <w:sz w:val="22"/>
          <w:lang w:val="ru-RU"/>
        </w:rPr>
        <w:t xml:space="preserve">, </w:t>
      </w:r>
      <w:r>
        <w:rPr>
          <w:rFonts w:ascii="Times New Roman" w:hAnsi="Times New Roman"/>
          <w:sz w:val="22"/>
          <w:lang w:val="en-US"/>
        </w:rPr>
        <w:t>Yu</w:t>
      </w:r>
      <w:r w:rsidRPr="000E65F2">
        <w:rPr>
          <w:rFonts w:ascii="Times New Roman" w:hAnsi="Times New Roman"/>
          <w:sz w:val="22"/>
          <w:lang w:val="ru-RU"/>
        </w:rPr>
        <w:t>.</w:t>
      </w:r>
      <w:r>
        <w:rPr>
          <w:rFonts w:ascii="Times New Roman" w:hAnsi="Times New Roman"/>
          <w:sz w:val="22"/>
        </w:rPr>
        <w:t>V</w:t>
      </w:r>
      <w:r w:rsidRPr="000E65F2">
        <w:rPr>
          <w:rFonts w:ascii="Times New Roman" w:hAnsi="Times New Roman"/>
          <w:sz w:val="22"/>
          <w:lang w:val="ru-RU"/>
        </w:rPr>
        <w:t xml:space="preserve">. </w:t>
      </w:r>
      <w:r>
        <w:rPr>
          <w:rFonts w:ascii="Times New Roman" w:hAnsi="Times New Roman"/>
          <w:sz w:val="22"/>
        </w:rPr>
        <w:t>SENICHEV</w:t>
      </w:r>
    </w:p>
    <w:p w14:paraId="408B315C" w14:textId="51BC27FF" w:rsidR="00347C37" w:rsidRDefault="003D29EA" w:rsidP="00105376">
      <w:pPr>
        <w:pStyle w:val="Abstract"/>
        <w:spacing w:after="0"/>
        <w:ind w:left="0" w:firstLine="284"/>
        <w:jc w:val="center"/>
        <w:rPr>
          <w:rFonts w:ascii="Times New Roman" w:hAnsi="Times New Roman"/>
          <w:i/>
          <w:sz w:val="18"/>
        </w:rPr>
      </w:pPr>
      <w:r w:rsidRPr="000E65F2">
        <w:rPr>
          <w:rFonts w:ascii="Times New Roman" w:hAnsi="Times New Roman"/>
          <w:i/>
          <w:sz w:val="18"/>
        </w:rPr>
        <w:t>Insti</w:t>
      </w:r>
      <w:r>
        <w:rPr>
          <w:rFonts w:ascii="Times New Roman" w:hAnsi="Times New Roman"/>
          <w:i/>
          <w:sz w:val="18"/>
        </w:rPr>
        <w:t>tute for Nuclear Research (Russian Academy of Science),</w:t>
      </w:r>
      <w:r w:rsidRPr="000E65F2">
        <w:rPr>
          <w:rFonts w:ascii="Times New Roman" w:hAnsi="Times New Roman"/>
          <w:i/>
          <w:sz w:val="18"/>
        </w:rPr>
        <w:t xml:space="preserve"> Moscow, Russia</w:t>
      </w:r>
    </w:p>
    <w:p w14:paraId="3A573FBF" w14:textId="77777777" w:rsidR="00105376" w:rsidRPr="00105376" w:rsidRDefault="00105376" w:rsidP="00105376">
      <w:pPr>
        <w:pStyle w:val="Abstract"/>
        <w:spacing w:after="0"/>
        <w:ind w:left="0" w:firstLine="284"/>
        <w:jc w:val="center"/>
        <w:rPr>
          <w:rFonts w:ascii="Times New Roman" w:hAnsi="Times New Roman"/>
          <w:i/>
          <w:sz w:val="18"/>
          <w:lang w:val="en-US"/>
        </w:rPr>
      </w:pPr>
    </w:p>
    <w:p w14:paraId="561F5CFD" w14:textId="1760B03C" w:rsidR="00F76EB5" w:rsidRPr="00AF343B" w:rsidRDefault="00347C37" w:rsidP="00905BB6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</w:pPr>
      <w:r w:rsidRPr="00347C37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 xml:space="preserve">MAIN ARGUMENTS FOR </w:t>
      </w:r>
      <w:r w:rsidR="00105376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>CROSSING</w:t>
      </w:r>
      <w:r w:rsidRPr="00347C37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 xml:space="preserve"> </w:t>
      </w:r>
      <w:r w:rsidR="000D5459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>AND</w:t>
      </w:r>
      <w:r w:rsidRPr="00347C37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 xml:space="preserve"> RAISING THE SYNCHROTRON 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>TRANSITION</w:t>
      </w:r>
      <w:r w:rsidRPr="00347C37"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 xml:space="preserve"> ENERGY</w:t>
      </w:r>
      <w:r>
        <w:rPr>
          <w:rFonts w:ascii="Times New Roman" w:hAnsi="Times New Roman" w:cs="Times New Roman"/>
          <w:b/>
          <w:bCs/>
          <w:color w:val="000000"/>
          <w:szCs w:val="24"/>
          <w:shd w:val="clear" w:color="auto" w:fill="FFFFFF"/>
          <w:lang w:val="en-US"/>
        </w:rPr>
        <w:t>.</w:t>
      </w:r>
    </w:p>
    <w:p w14:paraId="2518103E" w14:textId="77777777" w:rsidR="003D29EA" w:rsidRPr="003D29EA" w:rsidRDefault="003D29EA" w:rsidP="003D29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0"/>
          <w:szCs w:val="24"/>
          <w:lang w:val="en-US"/>
        </w:rPr>
      </w:pPr>
    </w:p>
    <w:p w14:paraId="09CBC3AB" w14:textId="77BC5DD0" w:rsidR="003D29EA" w:rsidRDefault="00672F68" w:rsidP="003D29EA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8"/>
          <w:lang w:val="en-US"/>
        </w:rPr>
      </w:pPr>
      <w:r>
        <w:rPr>
          <w:rFonts w:ascii="Times New Roman" w:hAnsi="Times New Roman" w:cs="Times New Roman"/>
          <w:sz w:val="18"/>
          <w:lang w:val="en-US"/>
        </w:rPr>
        <w:t xml:space="preserve">The transition energy crossing </w:t>
      </w:r>
      <w:r w:rsidRPr="00672F68">
        <w:rPr>
          <w:rFonts w:ascii="Times New Roman" w:hAnsi="Times New Roman" w:cs="Times New Roman"/>
          <w:sz w:val="18"/>
          <w:lang w:val="en-US"/>
        </w:rPr>
        <w:t xml:space="preserve">requires special attention to preserve the stability of the beam </w:t>
      </w:r>
      <w:r>
        <w:rPr>
          <w:rFonts w:ascii="Times New Roman" w:hAnsi="Times New Roman" w:cs="Times New Roman"/>
          <w:sz w:val="18"/>
          <w:lang w:val="en-US"/>
        </w:rPr>
        <w:t>during its</w:t>
      </w:r>
      <w:r w:rsidRPr="00672F68">
        <w:rPr>
          <w:rFonts w:ascii="Times New Roman" w:hAnsi="Times New Roman" w:cs="Times New Roman"/>
          <w:sz w:val="18"/>
          <w:lang w:val="en-US"/>
        </w:rPr>
        <w:t xml:space="preserve"> accelerat</w:t>
      </w:r>
      <w:r>
        <w:rPr>
          <w:rFonts w:ascii="Times New Roman" w:hAnsi="Times New Roman" w:cs="Times New Roman"/>
          <w:sz w:val="18"/>
          <w:lang w:val="en-US"/>
        </w:rPr>
        <w:t>ion</w:t>
      </w:r>
      <w:r w:rsidRPr="00672F68">
        <w:rPr>
          <w:rFonts w:ascii="Times New Roman" w:hAnsi="Times New Roman" w:cs="Times New Roman"/>
          <w:sz w:val="18"/>
          <w:lang w:val="en-US"/>
        </w:rPr>
        <w:t xml:space="preserve"> to the energy of the experiment. Possible methods of</w:t>
      </w:r>
      <w:r>
        <w:rPr>
          <w:rFonts w:ascii="Times New Roman" w:hAnsi="Times New Roman" w:cs="Times New Roman"/>
          <w:sz w:val="18"/>
          <w:lang w:val="en-US"/>
        </w:rPr>
        <w:t xml:space="preserve"> the</w:t>
      </w:r>
      <w:r w:rsidRPr="00672F68">
        <w:rPr>
          <w:rFonts w:ascii="Times New Roman" w:hAnsi="Times New Roman" w:cs="Times New Roman"/>
          <w:sz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lang w:val="en-US"/>
        </w:rPr>
        <w:t xml:space="preserve">transition </w:t>
      </w:r>
      <w:r w:rsidRPr="00672F68">
        <w:rPr>
          <w:rFonts w:ascii="Times New Roman" w:hAnsi="Times New Roman" w:cs="Times New Roman"/>
          <w:sz w:val="18"/>
          <w:lang w:val="en-US"/>
        </w:rPr>
        <w:t xml:space="preserve">energy </w:t>
      </w:r>
      <w:r>
        <w:rPr>
          <w:rFonts w:ascii="Times New Roman" w:hAnsi="Times New Roman" w:cs="Times New Roman"/>
          <w:sz w:val="18"/>
          <w:lang w:val="en-US"/>
        </w:rPr>
        <w:t xml:space="preserve">crossing </w:t>
      </w:r>
      <w:r w:rsidRPr="00672F68">
        <w:rPr>
          <w:rFonts w:ascii="Times New Roman" w:hAnsi="Times New Roman" w:cs="Times New Roman"/>
          <w:sz w:val="18"/>
          <w:lang w:val="en-US"/>
        </w:rPr>
        <w:t>in a synchrotron are considered</w:t>
      </w:r>
      <w:r>
        <w:rPr>
          <w:rFonts w:ascii="Times New Roman" w:hAnsi="Times New Roman" w:cs="Times New Roman"/>
          <w:sz w:val="18"/>
          <w:lang w:val="en-US"/>
        </w:rPr>
        <w:t xml:space="preserve"> as a case</w:t>
      </w:r>
      <w:r w:rsidRPr="00672F68">
        <w:rPr>
          <w:rFonts w:ascii="Times New Roman" w:hAnsi="Times New Roman" w:cs="Times New Roman"/>
          <w:sz w:val="18"/>
          <w:lang w:val="en-US"/>
        </w:rPr>
        <w:t xml:space="preserve"> </w:t>
      </w:r>
      <w:r>
        <w:rPr>
          <w:rFonts w:ascii="Times New Roman" w:hAnsi="Times New Roman" w:cs="Times New Roman"/>
          <w:sz w:val="18"/>
          <w:lang w:val="en-US"/>
        </w:rPr>
        <w:t>t</w:t>
      </w:r>
      <w:r w:rsidRPr="00672F68">
        <w:rPr>
          <w:rFonts w:ascii="Times New Roman" w:hAnsi="Times New Roman" w:cs="Times New Roman"/>
          <w:sz w:val="18"/>
          <w:lang w:val="en-US"/>
        </w:rPr>
        <w:t>he NICA accelerator complex located in Dubna, Russia.</w:t>
      </w:r>
    </w:p>
    <w:p w14:paraId="5BC55F87" w14:textId="7387CC54" w:rsidR="00672F68" w:rsidRPr="00672F68" w:rsidRDefault="00672F68" w:rsidP="003D29EA">
      <w:pPr>
        <w:spacing w:after="0" w:line="240" w:lineRule="auto"/>
        <w:ind w:firstLine="284"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  <w:lang w:val="en-US"/>
        </w:rPr>
      </w:pPr>
    </w:p>
    <w:p w14:paraId="06FB9124" w14:textId="5D021A47" w:rsidR="003D29EA" w:rsidRDefault="00C36F7C" w:rsidP="003D29EA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C36F7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Критическая энергия (Transition Energy) представляет из себя важную характеристику синхротрона и зависит только от магнитооптической структуры самого ускорителя. При этом, если не предпринимать никаких мер, то в синхротроне развиваются нестабильности, которые в конечном счете ведут к потере пучка. В связи с этим применяют методы пересечения критической энергии.</w:t>
      </w:r>
    </w:p>
    <w:p w14:paraId="7C584C79" w14:textId="229D131C" w:rsidR="00C36F7C" w:rsidRPr="006120BC" w:rsidRDefault="00C36F7C" w:rsidP="00C36F7C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 w:rsidRPr="008B5BE9">
        <w:rPr>
          <w:noProof/>
        </w:rPr>
        <w:drawing>
          <wp:anchor distT="0" distB="0" distL="114300" distR="114300" simplePos="0" relativeHeight="251661312" behindDoc="0" locked="0" layoutInCell="1" allowOverlap="1" wp14:anchorId="1745FA72" wp14:editId="5F0FDA23">
            <wp:simplePos x="0" y="0"/>
            <wp:positionH relativeFrom="column">
              <wp:posOffset>761365</wp:posOffset>
            </wp:positionH>
            <wp:positionV relativeFrom="paragraph">
              <wp:posOffset>601980</wp:posOffset>
            </wp:positionV>
            <wp:extent cx="1979930" cy="1592580"/>
            <wp:effectExtent l="0" t="0" r="1270" b="0"/>
            <wp:wrapTopAndBottom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B5BE9">
        <w:rPr>
          <w:noProof/>
        </w:rPr>
        <w:drawing>
          <wp:anchor distT="0" distB="0" distL="114300" distR="114300" simplePos="0" relativeHeight="251663360" behindDoc="0" locked="0" layoutInCell="1" allowOverlap="1" wp14:anchorId="5532C4BA" wp14:editId="18A0775D">
            <wp:simplePos x="0" y="0"/>
            <wp:positionH relativeFrom="column">
              <wp:posOffset>3353435</wp:posOffset>
            </wp:positionH>
            <wp:positionV relativeFrom="paragraph">
              <wp:posOffset>589280</wp:posOffset>
            </wp:positionV>
            <wp:extent cx="1979930" cy="1610995"/>
            <wp:effectExtent l="0" t="0" r="1270" b="190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993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F7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Первый, метод, применимый в синхротронах по сей день стал метод создания быстрого скачка критической энергии при подходе к нестабильной области. Сам скачок может осуществляться быстрым изменением градиента квадрупольных линз, расположенных на арках синхротрона</w:t>
      </w:r>
      <w:r w:rsid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(Рис</w:t>
      </w:r>
      <w:r w:rsidR="006120BC" w:rsidRP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.1</w:t>
      </w:r>
      <w:r w:rsid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)</w:t>
      </w:r>
      <w:r w:rsidR="006120BC" w:rsidRP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</w:t>
      </w:r>
    </w:p>
    <w:p w14:paraId="7403EFC5" w14:textId="0EF9CC07" w:rsidR="00C36F7C" w:rsidRDefault="00C36F7C" w:rsidP="00C36F7C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</w:p>
    <w:p w14:paraId="66A3DF97" w14:textId="37C58FE7" w:rsidR="00905BB6" w:rsidRPr="00905BB6" w:rsidRDefault="00C36F7C" w:rsidP="00905BB6">
      <w:pPr>
        <w:spacing w:after="0" w:line="240" w:lineRule="auto"/>
        <w:contextualSpacing/>
        <w:jc w:val="center"/>
        <w:rPr>
          <w:rFonts w:ascii="Times New Roman" w:hAnsi="Times New Roman" w:cs="Times New Roman"/>
          <w:sz w:val="18"/>
          <w:szCs w:val="18"/>
        </w:rPr>
      </w:pPr>
      <w:r w:rsidRPr="007D0681">
        <w:rPr>
          <w:rFonts w:ascii="Times New Roman" w:hAnsi="Times New Roman" w:cs="Times New Roman"/>
          <w:i/>
          <w:iCs/>
          <w:sz w:val="18"/>
          <w:szCs w:val="18"/>
        </w:rPr>
        <w:t xml:space="preserve">Рис. </w:t>
      </w:r>
      <w:r w:rsidRPr="00C36F7C">
        <w:rPr>
          <w:rFonts w:ascii="Times New Roman" w:hAnsi="Times New Roman" w:cs="Times New Roman"/>
          <w:i/>
          <w:iCs/>
          <w:sz w:val="18"/>
          <w:szCs w:val="18"/>
        </w:rPr>
        <w:t>1</w:t>
      </w:r>
      <w:r w:rsidRPr="007D0681">
        <w:rPr>
          <w:rFonts w:ascii="Times New Roman" w:hAnsi="Times New Roman" w:cs="Times New Roman"/>
          <w:i/>
          <w:iCs/>
          <w:sz w:val="18"/>
          <w:szCs w:val="18"/>
        </w:rPr>
        <w:t xml:space="preserve">. </w:t>
      </w:r>
      <w:r w:rsidRPr="00C36F7C">
        <w:rPr>
          <w:rFonts w:ascii="Times New Roman" w:hAnsi="Times New Roman" w:cs="Times New Roman"/>
          <w:sz w:val="18"/>
          <w:szCs w:val="18"/>
        </w:rPr>
        <w:t>Возможная</w:t>
      </w:r>
      <w:r w:rsidRPr="00C36F7C">
        <w:rPr>
          <w:rFonts w:ascii="Times New Roman" w:hAnsi="Times New Roman" w:cs="Times New Roman"/>
          <w:i/>
          <w:iCs/>
          <w:sz w:val="18"/>
          <w:szCs w:val="18"/>
        </w:rPr>
        <w:t xml:space="preserve"> </w:t>
      </w:r>
      <w:r w:rsidRPr="00C36F7C">
        <w:rPr>
          <w:rFonts w:ascii="Times New Roman" w:hAnsi="Times New Roman" w:cs="Times New Roman"/>
          <w:sz w:val="18"/>
          <w:szCs w:val="18"/>
        </w:rPr>
        <w:t xml:space="preserve">принципиальная схема скачка критической энергии. </w:t>
      </w:r>
    </w:p>
    <w:p w14:paraId="53455B68" w14:textId="4F87A8D1" w:rsidR="00C36F7C" w:rsidRPr="00B64479" w:rsidRDefault="00C36F7C" w:rsidP="00C36F7C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</w:pPr>
      <w:r>
        <w:rPr>
          <w:noProof/>
          <w:szCs w:val="28"/>
        </w:rPr>
        <w:drawing>
          <wp:anchor distT="0" distB="0" distL="114300" distR="114300" simplePos="0" relativeHeight="251659264" behindDoc="0" locked="0" layoutInCell="1" allowOverlap="1" wp14:anchorId="472D4291" wp14:editId="249ABA51">
            <wp:simplePos x="0" y="0"/>
            <wp:positionH relativeFrom="column">
              <wp:posOffset>1227455</wp:posOffset>
            </wp:positionH>
            <wp:positionV relativeFrom="paragraph">
              <wp:posOffset>910310</wp:posOffset>
            </wp:positionV>
            <wp:extent cx="3750945" cy="1078230"/>
            <wp:effectExtent l="0" t="0" r="0" b="127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094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36F7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Второй распространённый метод – создание магнитооптической структуры с заведомо большим значением критической энергии, таким образом может пропасть необходимость прохождения критической энергии, так как она будет заведомо больше энергии эксперимента, при этом нестабильности, связанные с движением вблизи критической энергии, не возникают вовсе</w:t>
      </w:r>
      <w:r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 Д</w:t>
      </w:r>
      <w:r w:rsidRPr="00C36F7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анный метод отличается тем, что необходимо внести изменение в саму магнитооптическую структуру синхротрона. Это возможно путем введения специальной суперпериодической модуляции градиентов квадрупольных линз на арках</w:t>
      </w:r>
      <w:r w:rsidR="006120BC" w:rsidRP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(Рис</w:t>
      </w:r>
      <w:r w:rsidR="006120BC" w:rsidRP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.2</w:t>
      </w:r>
      <w:r w:rsid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)</w:t>
      </w:r>
      <w:r w:rsidR="006120BC" w:rsidRPr="006120BC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.</w:t>
      </w:r>
    </w:p>
    <w:p w14:paraId="04C56B0A" w14:textId="710E8043" w:rsidR="003D29EA" w:rsidRDefault="003D29EA" w:rsidP="00905BB6">
      <w:pPr>
        <w:spacing w:after="0" w:line="240" w:lineRule="auto"/>
        <w:contextualSpacing/>
        <w:jc w:val="center"/>
        <w:rPr>
          <w:rFonts w:ascii="Times New Roman" w:hAnsi="Times New Roman" w:cs="Times New Roman"/>
          <w:i/>
          <w:iCs/>
          <w:sz w:val="18"/>
          <w:szCs w:val="18"/>
        </w:rPr>
      </w:pPr>
      <w:r w:rsidRPr="007D0681">
        <w:rPr>
          <w:rFonts w:ascii="Times New Roman" w:hAnsi="Times New Roman" w:cs="Times New Roman"/>
          <w:i/>
          <w:iCs/>
          <w:sz w:val="18"/>
          <w:szCs w:val="18"/>
        </w:rPr>
        <w:t xml:space="preserve">Рис. </w:t>
      </w:r>
      <w:r w:rsidR="00C36F7C" w:rsidRPr="00C36F7C">
        <w:rPr>
          <w:rFonts w:ascii="Times New Roman" w:hAnsi="Times New Roman" w:cs="Times New Roman"/>
          <w:i/>
          <w:iCs/>
          <w:sz w:val="18"/>
          <w:szCs w:val="18"/>
        </w:rPr>
        <w:t>2</w:t>
      </w:r>
      <w:r w:rsidRPr="007D0681">
        <w:rPr>
          <w:rFonts w:ascii="Times New Roman" w:hAnsi="Times New Roman" w:cs="Times New Roman"/>
          <w:i/>
          <w:iCs/>
          <w:sz w:val="18"/>
          <w:szCs w:val="18"/>
        </w:rPr>
        <w:t xml:space="preserve">. </w:t>
      </w:r>
      <w:r w:rsidR="00C36F7C" w:rsidRPr="00C36F7C">
        <w:rPr>
          <w:rFonts w:ascii="Times New Roman" w:hAnsi="Times New Roman" w:cs="Times New Roman"/>
          <w:i/>
          <w:iCs/>
          <w:sz w:val="18"/>
          <w:szCs w:val="18"/>
        </w:rPr>
        <w:t>Принципиальная схема одного суперпериода, состоящего из 3-х ФОДО ячеек.</w:t>
      </w:r>
    </w:p>
    <w:p w14:paraId="5CAF2628" w14:textId="77777777" w:rsidR="003D29EA" w:rsidRDefault="003D29EA" w:rsidP="00C36F7C">
      <w:pPr>
        <w:spacing w:after="0" w:line="240" w:lineRule="auto"/>
        <w:contextualSpacing/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</w:pPr>
    </w:p>
    <w:p w14:paraId="608C1FE4" w14:textId="79AFE0D5" w:rsidR="00C36F7C" w:rsidRPr="00243EDE" w:rsidRDefault="003D29EA" w:rsidP="00C36F7C">
      <w:pPr>
        <w:spacing w:after="0" w:line="240" w:lineRule="auto"/>
        <w:ind w:firstLine="284"/>
        <w:contextualSpacing/>
        <w:jc w:val="center"/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</w:pPr>
      <w:r w:rsidRPr="00243EDE">
        <w:rPr>
          <w:rFonts w:ascii="Times New Roman" w:hAnsi="Times New Roman" w:cs="Times New Roman"/>
          <w:bCs/>
          <w:i/>
          <w:sz w:val="18"/>
          <w:szCs w:val="18"/>
          <w:shd w:val="clear" w:color="auto" w:fill="FFFFFF"/>
        </w:rPr>
        <w:t>Список литературы</w:t>
      </w:r>
    </w:p>
    <w:p w14:paraId="1F75EC64" w14:textId="0E0DC508" w:rsidR="00426CED" w:rsidRDefault="003930E7" w:rsidP="003D29EA">
      <w:pPr>
        <w:spacing w:after="0" w:line="240" w:lineRule="auto"/>
        <w:ind w:firstLine="284"/>
        <w:contextualSpacing/>
        <w:jc w:val="both"/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</w:pPr>
      <w:r w:rsidRPr="003930E7">
        <w:rPr>
          <w:rFonts w:ascii="Times New Roman" w:hAnsi="Times New Roman" w:cs="Times New Roman"/>
          <w:bCs/>
          <w:sz w:val="18"/>
          <w:szCs w:val="18"/>
          <w:shd w:val="clear" w:color="auto" w:fill="FFFFFF"/>
        </w:rPr>
        <w:t xml:space="preserve">1.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Syresin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E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Butenko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V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Zenkevich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R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Kolokolchikov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D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Kostromin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Mesh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>-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kov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I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Mityanina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N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V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Senichev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Y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V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Sidorin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A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O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., &amp; 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Trubnikov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,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G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V</w:t>
      </w:r>
      <w:r w:rsidRPr="003930E7">
        <w:rPr>
          <w:rFonts w:ascii="Times New Roman" w:eastAsia="Times New Roman" w:hAnsi="Times New Roman" w:cs="Times New Roman"/>
          <w:sz w:val="18"/>
          <w:szCs w:val="18"/>
          <w:lang w:eastAsia="ru-RU"/>
        </w:rPr>
        <w:t xml:space="preserve">. (2021).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Forma-</w:t>
      </w:r>
      <w:proofErr w:type="spellStart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tion</w:t>
      </w:r>
      <w:proofErr w:type="spellEnd"/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 xml:space="preserve"> of Polarized Proton Beams in the NICA Collider-Accelerator Complex. Physics of Particles and Nuclei, 52(5), 997-1017. </w:t>
      </w:r>
      <w:hyperlink r:id="rId10" w:history="1">
        <w:r w:rsidRPr="004D2D16">
          <w:rPr>
            <w:rStyle w:val="a8"/>
            <w:rFonts w:ascii="Times New Roman" w:eastAsia="Times New Roman" w:hAnsi="Times New Roman" w:cs="Times New Roman"/>
            <w:sz w:val="18"/>
            <w:szCs w:val="18"/>
            <w:lang w:val="en-US" w:eastAsia="ru-RU"/>
          </w:rPr>
          <w:t>https://doi.org/10.1134/S1063779621050051</w:t>
        </w:r>
      </w:hyperlink>
      <w:r w:rsidRPr="003930E7">
        <w:rPr>
          <w:lang w:val="en-US" w:eastAsia="ru-RU"/>
        </w:rPr>
        <w:t xml:space="preserve"> </w:t>
      </w:r>
      <w:r w:rsidRPr="003930E7">
        <w:rPr>
          <w:rFonts w:ascii="Times New Roman" w:eastAsia="Times New Roman" w:hAnsi="Times New Roman" w:cs="Times New Roman"/>
          <w:sz w:val="18"/>
          <w:szCs w:val="18"/>
          <w:lang w:val="en-US" w:eastAsia="ru-RU"/>
        </w:rPr>
        <w:t>p22-26</w:t>
      </w:r>
    </w:p>
    <w:p w14:paraId="1CFD097E" w14:textId="2DCBF96E" w:rsidR="003930E7" w:rsidRPr="003D29EA" w:rsidRDefault="003930E7" w:rsidP="003D29EA">
      <w:pPr>
        <w:spacing w:after="0" w:line="240" w:lineRule="auto"/>
        <w:ind w:firstLine="284"/>
        <w:contextualSpacing/>
        <w:jc w:val="both"/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</w:pP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2</w:t>
      </w:r>
      <w:r w:rsidRPr="003930E7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.</w:t>
      </w:r>
      <w:r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 </w:t>
      </w:r>
      <w:r w:rsidRPr="003930E7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Yu. V. </w:t>
      </w:r>
      <w:proofErr w:type="spellStart"/>
      <w:r w:rsidRPr="003930E7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Senichev</w:t>
      </w:r>
      <w:proofErr w:type="spellEnd"/>
      <w:r w:rsidRPr="003930E7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 xml:space="preserve"> and A. N. </w:t>
      </w:r>
      <w:proofErr w:type="spellStart"/>
      <w:r w:rsidRPr="003930E7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Chechenin</w:t>
      </w:r>
      <w:proofErr w:type="spellEnd"/>
      <w:r w:rsidRPr="003930E7">
        <w:rPr>
          <w:rFonts w:ascii="Times New Roman" w:hAnsi="Times New Roman" w:cs="Times New Roman"/>
          <w:bCs/>
          <w:sz w:val="18"/>
          <w:szCs w:val="18"/>
          <w:shd w:val="clear" w:color="auto" w:fill="FFFFFF"/>
          <w:lang w:val="en-US"/>
        </w:rPr>
        <w:t>. Construction of “Resonant” Magneto-Optical Lattices with Controlled Momentum Compaction Factor. ISSN 1063-7761 (2007).</w:t>
      </w:r>
    </w:p>
    <w:sectPr w:rsidR="003930E7" w:rsidRPr="003D29EA" w:rsidSect="00E15EDD">
      <w:headerReference w:type="default" r:id="rId11"/>
      <w:pgSz w:w="11906" w:h="16838" w:code="9"/>
      <w:pgMar w:top="1304" w:right="1021" w:bottom="1418" w:left="964" w:header="85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2787F" w14:textId="77777777" w:rsidR="00F7235B" w:rsidRDefault="00F7235B">
      <w:pPr>
        <w:spacing w:after="0" w:line="240" w:lineRule="auto"/>
      </w:pPr>
      <w:r>
        <w:separator/>
      </w:r>
    </w:p>
  </w:endnote>
  <w:endnote w:type="continuationSeparator" w:id="0">
    <w:p w14:paraId="65A562ED" w14:textId="77777777" w:rsidR="00F7235B" w:rsidRDefault="00F72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Заголовки (сло">
    <w:altName w:val="Times New Roman"/>
    <w:panose1 w:val="020B0604020202020204"/>
    <w:charset w:val="00"/>
    <w:family w:val="roman"/>
    <w:pitch w:val="default"/>
  </w:font>
  <w:font w:name="Times">
    <w:altName w:val="﷽﷽﷽﷽﷽﷽ﶀү怀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D9948D" w14:textId="77777777" w:rsidR="00F7235B" w:rsidRDefault="00F7235B">
      <w:pPr>
        <w:spacing w:after="0" w:line="240" w:lineRule="auto"/>
      </w:pPr>
      <w:r>
        <w:separator/>
      </w:r>
    </w:p>
  </w:footnote>
  <w:footnote w:type="continuationSeparator" w:id="0">
    <w:p w14:paraId="34136DE2" w14:textId="77777777" w:rsidR="00F7235B" w:rsidRDefault="00F723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426FF2" w14:textId="77777777" w:rsidR="000E65F2" w:rsidRDefault="006120BC">
    <w:pPr>
      <w:pStyle w:val="a4"/>
    </w:pPr>
    <w:r>
      <w:ptab w:relativeTo="margin" w:alignment="center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B40D92"/>
    <w:multiLevelType w:val="hybridMultilevel"/>
    <w:tmpl w:val="44EEBABE"/>
    <w:lvl w:ilvl="0" w:tplc="817617A4">
      <w:start w:val="1"/>
      <w:numFmt w:val="decimal"/>
      <w:lvlText w:val="%1."/>
      <w:lvlJc w:val="left"/>
      <w:pPr>
        <w:ind w:left="45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71" w:hanging="360"/>
      </w:pPr>
    </w:lvl>
    <w:lvl w:ilvl="2" w:tplc="0419001B" w:tentative="1">
      <w:start w:val="1"/>
      <w:numFmt w:val="lowerRoman"/>
      <w:lvlText w:val="%3."/>
      <w:lvlJc w:val="right"/>
      <w:pPr>
        <w:ind w:left="1891" w:hanging="180"/>
      </w:pPr>
    </w:lvl>
    <w:lvl w:ilvl="3" w:tplc="0419000F" w:tentative="1">
      <w:start w:val="1"/>
      <w:numFmt w:val="decimal"/>
      <w:lvlText w:val="%4."/>
      <w:lvlJc w:val="left"/>
      <w:pPr>
        <w:ind w:left="2611" w:hanging="360"/>
      </w:pPr>
    </w:lvl>
    <w:lvl w:ilvl="4" w:tplc="04190019" w:tentative="1">
      <w:start w:val="1"/>
      <w:numFmt w:val="lowerLetter"/>
      <w:lvlText w:val="%5."/>
      <w:lvlJc w:val="left"/>
      <w:pPr>
        <w:ind w:left="3331" w:hanging="360"/>
      </w:pPr>
    </w:lvl>
    <w:lvl w:ilvl="5" w:tplc="0419001B" w:tentative="1">
      <w:start w:val="1"/>
      <w:numFmt w:val="lowerRoman"/>
      <w:lvlText w:val="%6."/>
      <w:lvlJc w:val="right"/>
      <w:pPr>
        <w:ind w:left="4051" w:hanging="180"/>
      </w:pPr>
    </w:lvl>
    <w:lvl w:ilvl="6" w:tplc="0419000F" w:tentative="1">
      <w:start w:val="1"/>
      <w:numFmt w:val="decimal"/>
      <w:lvlText w:val="%7."/>
      <w:lvlJc w:val="left"/>
      <w:pPr>
        <w:ind w:left="4771" w:hanging="360"/>
      </w:pPr>
    </w:lvl>
    <w:lvl w:ilvl="7" w:tplc="04190019" w:tentative="1">
      <w:start w:val="1"/>
      <w:numFmt w:val="lowerLetter"/>
      <w:lvlText w:val="%8."/>
      <w:lvlJc w:val="left"/>
      <w:pPr>
        <w:ind w:left="5491" w:hanging="360"/>
      </w:pPr>
    </w:lvl>
    <w:lvl w:ilvl="8" w:tplc="0419001B" w:tentative="1">
      <w:start w:val="1"/>
      <w:numFmt w:val="lowerRoman"/>
      <w:lvlText w:val="%9."/>
      <w:lvlJc w:val="right"/>
      <w:pPr>
        <w:ind w:left="621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9EA"/>
    <w:rsid w:val="000D5459"/>
    <w:rsid w:val="00105376"/>
    <w:rsid w:val="00347C37"/>
    <w:rsid w:val="003930E7"/>
    <w:rsid w:val="003D29EA"/>
    <w:rsid w:val="003F4C38"/>
    <w:rsid w:val="00426CED"/>
    <w:rsid w:val="006120BC"/>
    <w:rsid w:val="00672F68"/>
    <w:rsid w:val="008C0E69"/>
    <w:rsid w:val="00905BB6"/>
    <w:rsid w:val="009F563D"/>
    <w:rsid w:val="00AF343B"/>
    <w:rsid w:val="00BA300F"/>
    <w:rsid w:val="00C36F7C"/>
    <w:rsid w:val="00CE542A"/>
    <w:rsid w:val="00F7235B"/>
    <w:rsid w:val="00F76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6FF5FD4"/>
  <w15:chartTrackingRefBased/>
  <w15:docId w15:val="{BE023263-A3A8-4D4E-ACBA-1638BD4A3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Заголовки (сло"/>
        <w:spacing w:val="-10"/>
        <w:kern w:val="28"/>
        <w:sz w:val="56"/>
        <w:szCs w:val="56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29EA"/>
    <w:pPr>
      <w:spacing w:after="200" w:line="276" w:lineRule="auto"/>
    </w:pPr>
    <w:rPr>
      <w:rFonts w:asciiTheme="minorHAnsi" w:hAnsiTheme="minorHAnsi" w:cstheme="minorBidi"/>
      <w:spacing w:val="0"/>
      <w:kern w:val="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D29EA"/>
    <w:pPr>
      <w:autoSpaceDE w:val="0"/>
      <w:autoSpaceDN w:val="0"/>
      <w:adjustRightInd w:val="0"/>
    </w:pPr>
    <w:rPr>
      <w:rFonts w:cs="Times New Roman"/>
      <w:color w:val="000000"/>
      <w:spacing w:val="0"/>
      <w:kern w:val="0"/>
      <w:sz w:val="24"/>
      <w:szCs w:val="24"/>
    </w:rPr>
  </w:style>
  <w:style w:type="paragraph" w:customStyle="1" w:styleId="StyleTitleLeft005cm">
    <w:name w:val="Style Title + Left:  0.05 cm"/>
    <w:basedOn w:val="a3"/>
    <w:rsid w:val="003D29EA"/>
    <w:pPr>
      <w:spacing w:before="1588" w:after="567"/>
      <w:contextualSpacing w:val="0"/>
    </w:pPr>
    <w:rPr>
      <w:rFonts w:ascii="Times" w:eastAsia="Times New Roman" w:hAnsi="Times" w:cs="Times New Roman"/>
      <w:b/>
      <w:bCs/>
      <w:spacing w:val="0"/>
      <w:kern w:val="0"/>
      <w:sz w:val="34"/>
      <w:szCs w:val="20"/>
      <w:lang w:val="en-GB"/>
    </w:rPr>
  </w:style>
  <w:style w:type="paragraph" w:customStyle="1" w:styleId="Abstract">
    <w:name w:val="Abstract"/>
    <w:rsid w:val="003D29EA"/>
    <w:pPr>
      <w:spacing w:after="454"/>
      <w:ind w:left="1418"/>
      <w:jc w:val="both"/>
    </w:pPr>
    <w:rPr>
      <w:rFonts w:ascii="Times" w:eastAsia="Times New Roman" w:hAnsi="Times" w:cs="Times New Roman"/>
      <w:color w:val="000000"/>
      <w:spacing w:val="0"/>
      <w:kern w:val="0"/>
      <w:sz w:val="20"/>
      <w:szCs w:val="20"/>
      <w:lang w:val="en-GB"/>
    </w:rPr>
  </w:style>
  <w:style w:type="paragraph" w:styleId="a4">
    <w:name w:val="header"/>
    <w:basedOn w:val="a"/>
    <w:link w:val="a5"/>
    <w:uiPriority w:val="99"/>
    <w:unhideWhenUsed/>
    <w:rsid w:val="003D29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D29EA"/>
    <w:rPr>
      <w:rFonts w:asciiTheme="minorHAnsi" w:hAnsiTheme="minorHAnsi" w:cstheme="minorBidi"/>
      <w:spacing w:val="0"/>
      <w:kern w:val="0"/>
      <w:sz w:val="22"/>
      <w:szCs w:val="22"/>
    </w:rPr>
  </w:style>
  <w:style w:type="paragraph" w:styleId="a3">
    <w:name w:val="Title"/>
    <w:basedOn w:val="a"/>
    <w:next w:val="a"/>
    <w:link w:val="a6"/>
    <w:uiPriority w:val="10"/>
    <w:qFormat/>
    <w:rsid w:val="003D29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3"/>
    <w:uiPriority w:val="10"/>
    <w:rsid w:val="003D29EA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3930E7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3930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930E7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930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i.org/10.1134/S106377962105005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2022-02-17T09:36:00Z</dcterms:created>
  <dcterms:modified xsi:type="dcterms:W3CDTF">2022-02-20T13:47:00Z</dcterms:modified>
</cp:coreProperties>
</file>