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right"/>
        <w:rPr>
          <w:rFonts w:ascii="Arial" w:hAnsi="Arial"/>
          <w:sz w:val="20"/>
          <w:szCs w:val="20"/>
        </w:rPr>
      </w:pPr>
      <w:r>
        <w:rPr>
          <w:b w:val="1"/>
          <w:bCs w:val="1"/>
          <w:sz w:val="22"/>
          <w:szCs w:val="22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39368</wp:posOffset>
                </wp:positionH>
                <wp:positionV relativeFrom="line">
                  <wp:posOffset>192404</wp:posOffset>
                </wp:positionV>
                <wp:extent cx="800100" cy="1036957"/>
                <wp:effectExtent l="0" t="0" r="0" b="0"/>
                <wp:wrapNone/>
                <wp:docPr id="1073741827" name="officeArt object" descr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36957"/>
                          <a:chOff x="0" y="0"/>
                          <a:chExt cx="800100" cy="103695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800100" cy="1036957"/>
                          </a:xfrm>
                          <a:prstGeom prst="rect">
                            <a:avLst/>
                          </a:prstGeom>
                          <a:solidFill>
                            <a:srgbClr val="218B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0369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1pt;margin-top:15.1pt;width:63.0pt;height:81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00100,1036957">
                <w10:wrap type="none" side="bothSides" anchorx="text"/>
                <v:rect id="_x0000_s1027" style="position:absolute;left:0;top:0;width:800100;height:1036956;">
                  <v:fill color="#218B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800100;height:1036957;">
                  <v:imagedata r:id="rId4" o:title="image1.png"/>
                </v:shape>
              </v:group>
            </w:pict>
          </mc:Fallback>
        </mc:AlternateContent>
      </w:r>
      <w:r>
        <w:rPr>
          <w:rFonts w:ascii="Arial" w:hAnsi="Arial"/>
          <w:sz w:val="20"/>
          <w:szCs w:val="20"/>
        </w:rPr>
        <w:tab/>
        <w:tab/>
        <w:tab/>
      </w:r>
    </w:p>
    <w:tbl>
      <w:tblPr>
        <w:tblW w:w="1027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11"/>
        <w:gridCol w:w="5067"/>
      </w:tblGrid>
      <w:tr>
        <w:tblPrEx>
          <w:shd w:val="clear" w:color="auto" w:fill="cdd4e9"/>
        </w:tblPrEx>
        <w:trPr>
          <w:trHeight w:val="3210" w:hRule="atLeast"/>
        </w:trPr>
        <w:tc>
          <w:tcPr>
            <w:tcW w:type="dxa" w:w="5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134" w:firstLine="0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Федеральное государственное</w:t>
            </w:r>
          </w:p>
          <w:p>
            <w:pPr>
              <w:pStyle w:val="Normal.0"/>
              <w:bidi w:val="0"/>
              <w:ind w:left="1134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бюджетное учреждение науки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                                  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Институт ядерных исследований</w:t>
            </w:r>
          </w:p>
          <w:p>
            <w:pPr>
              <w:pStyle w:val="Normal.0"/>
              <w:bidi w:val="0"/>
              <w:ind w:left="1134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Российской академии наук</w:t>
            </w:r>
          </w:p>
          <w:p>
            <w:pPr>
              <w:pStyle w:val="Normal.0"/>
              <w:bidi w:val="0"/>
              <w:ind w:left="1134" w:right="0" w:firstLine="0"/>
              <w:jc w:val="center"/>
              <w:rPr>
                <w:b w:val="1"/>
                <w:bCs w:val="1"/>
                <w:sz w:val="23"/>
                <w:szCs w:val="23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ru-RU"/>
              </w:rPr>
              <w:t>ИЯИ РАН</w:t>
            </w: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117312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проспект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60-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летия Октября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.7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(499)135 7760, (495)850 4201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(499)135 2268, (495)850 4228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Электронная почта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@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ac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ru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@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ru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Интернет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http://www.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.ru, http://www.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inr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ac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.ru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5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Default"/>
              <w:ind w:left="318" w:firstLine="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УТВЕРЖДАЮ                                                                     </w:t>
            </w:r>
          </w:p>
          <w:p>
            <w:pPr>
              <w:pStyle w:val="Default"/>
              <w:bidi w:val="0"/>
              <w:ind w:left="318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Директор                              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Либанов</w:t>
            </w:r>
          </w:p>
          <w:p>
            <w:pPr>
              <w:pStyle w:val="Default"/>
              <w:ind w:left="318" w:firstLine="0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Default"/>
              <w:ind w:left="318" w:firstLine="0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Default"/>
              <w:ind w:left="318" w:firstLine="0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Default"/>
              <w:bidi w:val="0"/>
              <w:ind w:left="318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«       »                                      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202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   года</w:t>
            </w:r>
          </w:p>
        </w:tc>
      </w:tr>
      <w:tr>
        <w:tblPrEx>
          <w:shd w:val="clear" w:color="auto" w:fill="cdd4e9"/>
        </w:tblPrEx>
        <w:trPr>
          <w:trHeight w:val="3210" w:hRule="atLeast"/>
        </w:trPr>
        <w:tc>
          <w:tcPr>
            <w:tcW w:type="dxa" w:w="5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right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widowControl w:val="0"/>
        <w:jc w:val="righ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                                                                      </w:t>
      </w:r>
    </w:p>
    <w:p>
      <w:pPr>
        <w:pStyle w:val="Default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ЭКСПЕРТНОЕ ЗАКЛЮЧЕНИЕ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 возможности опубликования</w:t>
      </w:r>
    </w:p>
    <w:p>
      <w:pPr>
        <w:pStyle w:val="Normal.0"/>
        <w:spacing w:line="360" w:lineRule="auto"/>
        <w:ind w:firstLine="426"/>
        <w:rPr>
          <w:b w:val="1"/>
          <w:bCs w:val="1"/>
          <w:outline w:val="0"/>
          <w:color w:val="7030a0"/>
          <w:u w:color="7030a0"/>
          <w14:textFill>
            <w14:solidFill>
              <w14:srgbClr w14:val="7030A0"/>
            </w14:solidFill>
          </w14:textFill>
        </w:rPr>
      </w:pPr>
      <w:r>
        <w:rPr>
          <w:rtl w:val="0"/>
          <w:lang w:val="ru-RU"/>
        </w:rPr>
        <w:t>Эксперт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 xml:space="preserve">рассмотрев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тезисы доклада на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>VI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>I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>I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 международную конференцию Лазерные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плазменные исследования и технологии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(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ЛаПлаз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202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>2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)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.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Е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Аксентьева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.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Мельникова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Ю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.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В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Сеничева «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Исследование спин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-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декогеренции пучка при неадиабатичном изменении ориентации оси стабильного спина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»</w:t>
      </w:r>
      <w:r>
        <w:rPr>
          <w:b w:val="1"/>
          <w:bCs w:val="1"/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,  </w:t>
      </w:r>
    </w:p>
    <w:p>
      <w:pPr>
        <w:pStyle w:val="Normal.0"/>
        <w:spacing w:line="360" w:lineRule="auto"/>
        <w:ind w:firstLine="426"/>
        <w:jc w:val="both"/>
      </w:pPr>
      <w:r>
        <w:rPr>
          <w:rtl w:val="0"/>
          <w:lang w:val="ru-RU"/>
        </w:rPr>
        <w:t>подтверждает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материале не содержится информации ограниченного доступа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Рассмотренный материал может быть опубликован в открытой печати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426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Эксперт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Заведующий лабораторией ГАРН ОЭФ ИЯИ РАН</w:t>
      </w:r>
    </w:p>
    <w:p>
      <w:pPr>
        <w:pStyle w:val="Normal.0"/>
        <w:spacing w:line="360" w:lineRule="auto"/>
        <w:ind w:left="4956" w:firstLine="708"/>
      </w:pP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 xml:space="preserve">  </w:t>
      </w:r>
      <w:r>
        <w:rPr>
          <w:i w:val="1"/>
          <w:iCs w:val="1"/>
          <w:outline w:val="0"/>
          <w:color w:val="7030a0"/>
          <w:u w:color="7030a0"/>
          <w:rtl w:val="0"/>
          <w14:textFill>
            <w14:solidFill>
              <w14:srgbClr w14:val="7030A0"/>
            </w14:solidFill>
          </w14:textFill>
        </w:rPr>
        <w:tab/>
        <w:tab/>
        <w:tab/>
        <w:t xml:space="preserve">/ </w:t>
      </w:r>
      <w:r>
        <w:rPr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Л</w:t>
      </w:r>
      <w:r>
        <w:rPr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.</w:t>
      </w:r>
      <w:r>
        <w:rPr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Б</w:t>
      </w:r>
      <w:r>
        <w:rPr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. </w:t>
      </w:r>
      <w:r>
        <w:rPr>
          <w:i w:val="1"/>
          <w:iCs w:val="1"/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Безруков</w:t>
      </w:r>
      <w:r>
        <w:rPr>
          <w:outline w:val="0"/>
          <w:color w:val="7030a0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 /</w:t>
      </w:r>
      <w:r>
        <w:rPr>
          <w:i w:val="1"/>
          <w:iCs w:val="1"/>
        </w:rPr>
        <w:tab/>
      </w:r>
    </w:p>
    <w:sectPr>
      <w:headerReference w:type="default" r:id="rId5"/>
      <w:footerReference w:type="default" r:id="rId6"/>
      <w:pgSz w:w="11900" w:h="16840" w:orient="portrait"/>
      <w:pgMar w:top="907" w:right="1134" w:bottom="907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