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BE4D" w14:textId="7CA12183" w:rsidR="005465F2" w:rsidRPr="00741CA5" w:rsidRDefault="005465F2" w:rsidP="002155FF">
      <w:pPr>
        <w:pStyle w:val="Default"/>
        <w:spacing w:before="0"/>
        <w:jc w:val="center"/>
        <w:rPr>
          <w:rFonts w:ascii="Times New Roman" w:hAnsi="Times New Roman"/>
          <w:sz w:val="22"/>
          <w:szCs w:val="22"/>
          <w:lang w:val="ru-RU"/>
        </w:rPr>
      </w:pPr>
      <w:r w:rsidRPr="00741CA5">
        <w:rPr>
          <w:rFonts w:ascii="Times New Roman" w:hAnsi="Times New Roman"/>
          <w:sz w:val="22"/>
          <w:szCs w:val="22"/>
          <w:lang w:val="ru-RU"/>
        </w:rPr>
        <w:t>КОЛОКОЛЬЧИКОВ С., АКСЕНТЬЕВ А., СЕНИЧЕВ Ю., МЕЛЬНИКОВ А.</w:t>
      </w:r>
    </w:p>
    <w:p w14:paraId="76E8ABF2" w14:textId="4A5A9D13" w:rsidR="005465F2" w:rsidRPr="00741CA5" w:rsidRDefault="001B611C" w:rsidP="002155FF">
      <w:pPr>
        <w:pStyle w:val="Default"/>
        <w:spacing w:before="0"/>
        <w:jc w:val="center"/>
        <w:rPr>
          <w:rFonts w:ascii="Times New Roman" w:hAnsi="Times New Roman"/>
          <w:i/>
          <w:iCs/>
          <w:sz w:val="18"/>
          <w:szCs w:val="18"/>
          <w:lang w:val="ru-RU"/>
        </w:rPr>
      </w:pPr>
      <w:r w:rsidRPr="00741CA5">
        <w:rPr>
          <w:rFonts w:ascii="Times New Roman" w:hAnsi="Times New Roman"/>
          <w:i/>
          <w:iCs/>
          <w:sz w:val="18"/>
          <w:szCs w:val="18"/>
          <w:lang w:val="ru-RU"/>
        </w:rPr>
        <w:t>Институт</w:t>
      </w:r>
      <w:r w:rsidR="005465F2" w:rsidRPr="00741CA5">
        <w:rPr>
          <w:rFonts w:ascii="Times New Roman" w:hAnsi="Times New Roman"/>
          <w:i/>
          <w:iCs/>
          <w:sz w:val="18"/>
          <w:szCs w:val="18"/>
          <w:lang w:val="ru-RU"/>
        </w:rPr>
        <w:t xml:space="preserve"> Ядерных Исследований РАН, Москва, Россия,</w:t>
      </w:r>
    </w:p>
    <w:p w14:paraId="57ADE55E" w14:textId="77777777" w:rsidR="005465F2" w:rsidRPr="00E039AF" w:rsidRDefault="005465F2" w:rsidP="001B611C">
      <w:pPr>
        <w:pStyle w:val="Default"/>
        <w:spacing w:before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64E0ECA" w14:textId="03DD467E" w:rsidR="005465F2" w:rsidRPr="00741CA5" w:rsidRDefault="00741CA5" w:rsidP="002155FF">
      <w:pPr>
        <w:pStyle w:val="Default"/>
        <w:spacing w:before="0"/>
        <w:jc w:val="center"/>
        <w:rPr>
          <w:rFonts w:ascii="Times New Roman" w:hAnsi="Times New Roman"/>
          <w:b/>
          <w:bCs/>
          <w:sz w:val="22"/>
          <w:szCs w:val="22"/>
          <w:lang w:val="ru-RU"/>
        </w:rPr>
      </w:pPr>
      <w:r w:rsidRPr="00741CA5">
        <w:rPr>
          <w:rFonts w:ascii="Times New Roman" w:hAnsi="Times New Roman"/>
          <w:b/>
          <w:bCs/>
          <w:sz w:val="22"/>
          <w:szCs w:val="22"/>
          <w:lang w:val="ru-RU"/>
        </w:rPr>
        <w:t>СПИНОВАЯ КОГЕРЕНТНОСТЬ И БЕТАТРОННАЯ ХРОМАТИЧНОСТЬ ДЕЙТРОННОГО ПУЧКА В РЕЖИМЕ КВАЗИЗАМОРОЖЕННОГО СПИНА.</w:t>
      </w:r>
    </w:p>
    <w:p w14:paraId="3C979FAE" w14:textId="77777777" w:rsidR="00741CA5" w:rsidRDefault="00741CA5" w:rsidP="00741CA5">
      <w:pPr>
        <w:jc w:val="both"/>
        <w:rPr>
          <w:rFonts w:ascii="Times New Roman" w:hAnsi="Times New Roman" w:cs="Times New Roman"/>
        </w:rPr>
      </w:pPr>
    </w:p>
    <w:p w14:paraId="555EFC94" w14:textId="05095943" w:rsidR="00741CA5" w:rsidRPr="00636EFA" w:rsidRDefault="00636EFA" w:rsidP="00741CA5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Отличительной особенностью режима квазизамороженного спина в синхротроне является установка специальных </w:t>
      </w:r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636EFA">
        <w:rPr>
          <w:rFonts w:ascii="Times New Roman" w:hAnsi="Times New Roman" w:cs="Times New Roman"/>
          <w:sz w:val="18"/>
          <w:szCs w:val="18"/>
        </w:rPr>
        <w:t>+</w:t>
      </w:r>
      <w:r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636EF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элементов на прямых участках, которые компенсируют вращение спина на арках. Более того</w:t>
      </w:r>
      <w:r w:rsidRPr="00636EFA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из-за наличия продольного размера и разброса по импульсу внутри пучка</w:t>
      </w:r>
      <w:r w:rsidRPr="00636EFA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вращение может происходить некогерентно. С целью подавления этого эффекта устанавливаются секступоли, которые также влияют и на подавление хроматичности.</w:t>
      </w:r>
    </w:p>
    <w:p w14:paraId="0AAF65EB" w14:textId="77777777" w:rsidR="00741CA5" w:rsidRDefault="00741CA5" w:rsidP="00580A14">
      <w:pPr>
        <w:ind w:firstLine="708"/>
        <w:jc w:val="both"/>
        <w:rPr>
          <w:rFonts w:ascii="Times New Roman" w:hAnsi="Times New Roman" w:cs="Times New Roman"/>
        </w:rPr>
      </w:pPr>
    </w:p>
    <w:p w14:paraId="3FEACA07" w14:textId="64BB8235" w:rsidR="00741CA5" w:rsidRPr="00741CA5" w:rsidRDefault="00741CA5" w:rsidP="00741CA5">
      <w:pPr>
        <w:pStyle w:val="Default"/>
        <w:spacing w:before="0"/>
        <w:jc w:val="center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KOLOKOLCHIKOV</w:t>
      </w:r>
      <w:r w:rsidRPr="00741CA5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S</w:t>
      </w:r>
      <w:r w:rsidRPr="00741CA5">
        <w:rPr>
          <w:rFonts w:ascii="Times New Roman" w:hAnsi="Times New Roman"/>
          <w:sz w:val="22"/>
          <w:szCs w:val="22"/>
          <w:lang w:val="en-US"/>
        </w:rPr>
        <w:t xml:space="preserve">., </w:t>
      </w:r>
      <w:r>
        <w:rPr>
          <w:rFonts w:ascii="Times New Roman" w:hAnsi="Times New Roman"/>
          <w:sz w:val="22"/>
          <w:szCs w:val="22"/>
          <w:lang w:val="en-US"/>
        </w:rPr>
        <w:t>AKSENTIEV</w:t>
      </w:r>
      <w:r w:rsidRPr="00741CA5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741CA5">
        <w:rPr>
          <w:rFonts w:ascii="Times New Roman" w:hAnsi="Times New Roman"/>
          <w:sz w:val="22"/>
          <w:szCs w:val="22"/>
          <w:lang w:val="ru-RU"/>
        </w:rPr>
        <w:t>А</w:t>
      </w:r>
      <w:r w:rsidRPr="00741CA5">
        <w:rPr>
          <w:rFonts w:ascii="Times New Roman" w:hAnsi="Times New Roman"/>
          <w:sz w:val="22"/>
          <w:szCs w:val="22"/>
          <w:lang w:val="en-US"/>
        </w:rPr>
        <w:t xml:space="preserve">., </w:t>
      </w:r>
      <w:r>
        <w:rPr>
          <w:rFonts w:ascii="Times New Roman" w:hAnsi="Times New Roman"/>
          <w:sz w:val="22"/>
          <w:szCs w:val="22"/>
          <w:lang w:val="en-US"/>
        </w:rPr>
        <w:t>SENICHEV</w:t>
      </w:r>
      <w:r w:rsidRPr="00741CA5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Yu</w:t>
      </w:r>
      <w:r w:rsidRPr="00741CA5">
        <w:rPr>
          <w:rFonts w:ascii="Times New Roman" w:hAnsi="Times New Roman"/>
          <w:sz w:val="22"/>
          <w:szCs w:val="22"/>
          <w:lang w:val="en-US"/>
        </w:rPr>
        <w:t xml:space="preserve">., </w:t>
      </w:r>
      <w:r>
        <w:rPr>
          <w:rFonts w:ascii="Times New Roman" w:hAnsi="Times New Roman"/>
          <w:sz w:val="22"/>
          <w:szCs w:val="22"/>
          <w:lang w:val="en-US"/>
        </w:rPr>
        <w:t xml:space="preserve">MELNIKOV </w:t>
      </w:r>
      <w:r w:rsidRPr="00741CA5">
        <w:rPr>
          <w:rFonts w:ascii="Times New Roman" w:hAnsi="Times New Roman"/>
          <w:sz w:val="22"/>
          <w:szCs w:val="22"/>
          <w:lang w:val="ru-RU"/>
        </w:rPr>
        <w:t>А</w:t>
      </w:r>
      <w:r w:rsidRPr="00741CA5">
        <w:rPr>
          <w:rFonts w:ascii="Times New Roman" w:hAnsi="Times New Roman"/>
          <w:sz w:val="22"/>
          <w:szCs w:val="22"/>
          <w:lang w:val="en-US"/>
        </w:rPr>
        <w:t>.,</w:t>
      </w:r>
    </w:p>
    <w:p w14:paraId="3A2B9BC5" w14:textId="5B1E05BD" w:rsidR="00741CA5" w:rsidRPr="00741CA5" w:rsidRDefault="00741CA5" w:rsidP="00741CA5">
      <w:pPr>
        <w:pStyle w:val="Default"/>
        <w:spacing w:before="0"/>
        <w:jc w:val="center"/>
        <w:rPr>
          <w:rFonts w:ascii="Times New Roman" w:hAnsi="Times New Roman"/>
          <w:i/>
          <w:iCs/>
          <w:sz w:val="18"/>
          <w:szCs w:val="18"/>
          <w:lang w:val="en-US"/>
        </w:rPr>
      </w:pPr>
      <w:r>
        <w:rPr>
          <w:rFonts w:ascii="Times New Roman" w:hAnsi="Times New Roman"/>
          <w:i/>
          <w:iCs/>
          <w:sz w:val="18"/>
          <w:szCs w:val="18"/>
          <w:lang w:val="en-US"/>
        </w:rPr>
        <w:t>Institute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for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Nuclear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Research RAS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 xml:space="preserve">,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Moscow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 xml:space="preserve">,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Russia</w:t>
      </w:r>
    </w:p>
    <w:p w14:paraId="75BCAEA5" w14:textId="77777777" w:rsidR="00636EFA" w:rsidRPr="00636EFA" w:rsidRDefault="00636EFA" w:rsidP="001B611C">
      <w:pPr>
        <w:pStyle w:val="Default"/>
        <w:spacing w:before="0"/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</w:pPr>
    </w:p>
    <w:p w14:paraId="465F4915" w14:textId="6284E19B" w:rsidR="00741CA5" w:rsidRDefault="00741CA5" w:rsidP="00741CA5">
      <w:pPr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2"/>
          <w:szCs w:val="22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41CA5">
        <w:rPr>
          <w:rFonts w:ascii="Times New Roman" w:eastAsia="Arial Unicode MS" w:hAnsi="Times New Roman" w:cs="Arial Unicode MS"/>
          <w:b/>
          <w:bCs/>
          <w:color w:val="000000"/>
          <w:sz w:val="22"/>
          <w:szCs w:val="22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SPIN COHERENCE AND BETATRON CHROMATICITY OF A DEUTERON BEAM IN THE QUASI-FROZEN SPIN MODE.</w:t>
      </w:r>
    </w:p>
    <w:p w14:paraId="1ECFE648" w14:textId="6D07424B" w:rsidR="00636EFA" w:rsidRDefault="00636EFA" w:rsidP="00636EFA">
      <w:pPr>
        <w:ind w:firstLine="708"/>
        <w:rPr>
          <w:rFonts w:ascii="Times New Roman" w:eastAsia="Arial Unicode MS" w:hAnsi="Times New Roman" w:cs="Arial Unicode MS"/>
          <w:b/>
          <w:bCs/>
          <w:color w:val="000000"/>
          <w:sz w:val="22"/>
          <w:szCs w:val="22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3618EC" w14:textId="49BEF004" w:rsidR="00636EFA" w:rsidRPr="00636EFA" w:rsidRDefault="00636EFA" w:rsidP="00D84CBF">
      <w:pPr>
        <w:ind w:firstLine="284"/>
        <w:jc w:val="both"/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36EFA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A distinctive feature of the quasi-frozen spin mode in the synchrotron is the installation of special E+B elements on straight sections that compensate spin rotation on arcs. Moreover, due to the presence of the longitudinal </w:t>
      </w:r>
      <w:r w:rsidR="00D84CBF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emittance</w:t>
      </w:r>
      <w:r w:rsidRPr="00636EFA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and the momentum spread inside the beam, </w:t>
      </w:r>
      <w:r w:rsidR="00D84CBF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spin </w:t>
      </w:r>
      <w:r w:rsidRPr="00636EFA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rotation may occur incoherently. In order to suppress this effect, sextupoles are installed, which also affect the suppression of chromaticity.</w:t>
      </w:r>
    </w:p>
    <w:p w14:paraId="7BBACBB4" w14:textId="77777777" w:rsidR="00741CA5" w:rsidRPr="00741CA5" w:rsidRDefault="00741CA5" w:rsidP="00636EFA">
      <w:pPr>
        <w:jc w:val="both"/>
        <w:rPr>
          <w:rFonts w:ascii="Times New Roman" w:hAnsi="Times New Roman" w:cs="Times New Roman"/>
          <w:lang w:val="en-US"/>
        </w:rPr>
      </w:pPr>
    </w:p>
    <w:p w14:paraId="73A1F701" w14:textId="77777777" w:rsidR="003F65B3" w:rsidRDefault="005465F2" w:rsidP="00CC5CBB">
      <w:pPr>
        <w:ind w:firstLine="284"/>
        <w:jc w:val="both"/>
        <w:rPr>
          <w:sz w:val="20"/>
          <w:szCs w:val="20"/>
        </w:rPr>
      </w:pPr>
      <w:r w:rsidRPr="00741CA5">
        <w:rPr>
          <w:rFonts w:ascii="Times New Roman" w:hAnsi="Times New Roman" w:cs="Times New Roman"/>
          <w:sz w:val="20"/>
          <w:szCs w:val="20"/>
        </w:rPr>
        <w:t>Возможность управления спином для экспериментов по поиску ЭДМ может быть реализована путем установки</w:t>
      </w:r>
      <w:r w:rsidR="00A335FE" w:rsidRPr="00741CA5">
        <w:rPr>
          <w:rFonts w:ascii="Times New Roman" w:hAnsi="Times New Roman" w:cs="Times New Roman"/>
          <w:sz w:val="20"/>
          <w:szCs w:val="20"/>
        </w:rPr>
        <w:t xml:space="preserve"> элементов со скрещенными электрическим и магнитным полями</w:t>
      </w:r>
      <w:r w:rsidRPr="00741CA5">
        <w:rPr>
          <w:rFonts w:ascii="Times New Roman" w:hAnsi="Times New Roman" w:cs="Times New Roman"/>
          <w:sz w:val="20"/>
          <w:szCs w:val="20"/>
        </w:rPr>
        <w:t xml:space="preserve">, </w:t>
      </w:r>
      <w:r w:rsidRPr="00741CA5">
        <w:rPr>
          <w:rFonts w:ascii="Times New Roman" w:hAnsi="Times New Roman" w:cs="Times New Roman"/>
          <w:sz w:val="20"/>
          <w:szCs w:val="20"/>
          <w:lang w:val="en-US"/>
        </w:rPr>
        <w:t>Wien</w:t>
      </w:r>
      <w:r w:rsidRPr="00741CA5">
        <w:rPr>
          <w:rFonts w:ascii="Times New Roman" w:hAnsi="Times New Roman" w:cs="Times New Roman"/>
          <w:sz w:val="20"/>
          <w:szCs w:val="20"/>
        </w:rPr>
        <w:t xml:space="preserve"> </w:t>
      </w:r>
      <w:r w:rsidRPr="00741CA5">
        <w:rPr>
          <w:rFonts w:ascii="Times New Roman" w:hAnsi="Times New Roman" w:cs="Times New Roman"/>
          <w:sz w:val="20"/>
          <w:szCs w:val="20"/>
          <w:lang w:val="en-US"/>
        </w:rPr>
        <w:t>Filters</w:t>
      </w:r>
      <w:r w:rsidRPr="00741CA5">
        <w:rPr>
          <w:rFonts w:ascii="Times New Roman" w:hAnsi="Times New Roman" w:cs="Times New Roman"/>
          <w:sz w:val="20"/>
          <w:szCs w:val="20"/>
        </w:rPr>
        <w:t>, на прям</w:t>
      </w:r>
      <w:r w:rsidR="00A335FE" w:rsidRPr="00741CA5">
        <w:rPr>
          <w:rFonts w:ascii="Times New Roman" w:hAnsi="Times New Roman" w:cs="Times New Roman"/>
          <w:sz w:val="20"/>
          <w:szCs w:val="20"/>
        </w:rPr>
        <w:t>ых</w:t>
      </w:r>
      <w:r w:rsidRPr="00741CA5">
        <w:rPr>
          <w:rFonts w:ascii="Times New Roman" w:hAnsi="Times New Roman" w:cs="Times New Roman"/>
          <w:sz w:val="20"/>
          <w:szCs w:val="20"/>
        </w:rPr>
        <w:t xml:space="preserve"> участк</w:t>
      </w:r>
      <w:r w:rsidR="00A335FE" w:rsidRPr="00741CA5">
        <w:rPr>
          <w:rFonts w:ascii="Times New Roman" w:hAnsi="Times New Roman" w:cs="Times New Roman"/>
          <w:sz w:val="20"/>
          <w:szCs w:val="20"/>
        </w:rPr>
        <w:t>ах</w:t>
      </w:r>
      <w:r w:rsidRPr="00741CA5">
        <w:rPr>
          <w:rFonts w:ascii="Times New Roman" w:hAnsi="Times New Roman" w:cs="Times New Roman"/>
          <w:sz w:val="20"/>
          <w:szCs w:val="20"/>
        </w:rPr>
        <w:t xml:space="preserve">. Они гарантируют, что спин </w:t>
      </w:r>
      <w:r w:rsidR="00F533ED" w:rsidRPr="00741CA5">
        <w:rPr>
          <w:rFonts w:ascii="Times New Roman" w:hAnsi="Times New Roman" w:cs="Times New Roman"/>
          <w:sz w:val="20"/>
          <w:szCs w:val="20"/>
        </w:rPr>
        <w:t>дейтронов</w:t>
      </w:r>
      <w:r w:rsidRPr="00741CA5">
        <w:rPr>
          <w:rFonts w:ascii="Times New Roman" w:hAnsi="Times New Roman" w:cs="Times New Roman"/>
          <w:sz w:val="20"/>
          <w:szCs w:val="20"/>
        </w:rPr>
        <w:t xml:space="preserve"> сохраняет</w:t>
      </w:r>
      <w:r w:rsidR="00A335FE" w:rsidRPr="00741CA5">
        <w:rPr>
          <w:rFonts w:ascii="Times New Roman" w:hAnsi="Times New Roman" w:cs="Times New Roman"/>
          <w:sz w:val="20"/>
          <w:szCs w:val="20"/>
        </w:rPr>
        <w:t xml:space="preserve"> </w:t>
      </w:r>
      <w:r w:rsidRPr="00741CA5">
        <w:rPr>
          <w:rFonts w:ascii="Times New Roman" w:hAnsi="Times New Roman" w:cs="Times New Roman"/>
          <w:sz w:val="20"/>
          <w:szCs w:val="20"/>
        </w:rPr>
        <w:t xml:space="preserve">направление в соответствии с режимом «квазизамороженного </w:t>
      </w:r>
      <w:r w:rsidR="008C312A" w:rsidRPr="00741CA5">
        <w:rPr>
          <w:rFonts w:ascii="Times New Roman" w:hAnsi="Times New Roman" w:cs="Times New Roman"/>
          <w:sz w:val="20"/>
          <w:szCs w:val="20"/>
        </w:rPr>
        <w:t>спина</w:t>
      </w:r>
      <w:r w:rsidRPr="00741CA5">
        <w:rPr>
          <w:rFonts w:ascii="Times New Roman" w:hAnsi="Times New Roman" w:cs="Times New Roman"/>
          <w:sz w:val="20"/>
          <w:szCs w:val="20"/>
        </w:rPr>
        <w:t>»</w:t>
      </w:r>
      <w:r w:rsidR="00CC5CBB" w:rsidRPr="00CC5CBB">
        <w:rPr>
          <w:rFonts w:ascii="Times New Roman" w:hAnsi="Times New Roman" w:cs="Times New Roman"/>
          <w:sz w:val="20"/>
          <w:szCs w:val="20"/>
        </w:rPr>
        <w:t xml:space="preserve"> [1]</w:t>
      </w:r>
      <w:r w:rsidRPr="00741CA5">
        <w:rPr>
          <w:rFonts w:ascii="Times New Roman" w:hAnsi="Times New Roman" w:cs="Times New Roman"/>
          <w:sz w:val="20"/>
          <w:szCs w:val="20"/>
        </w:rPr>
        <w:t>.</w:t>
      </w:r>
      <w:r w:rsidRPr="00741CA5">
        <w:rPr>
          <w:sz w:val="20"/>
          <w:szCs w:val="20"/>
        </w:rPr>
        <w:t xml:space="preserve"> </w:t>
      </w:r>
    </w:p>
    <w:p w14:paraId="4E700297" w14:textId="2872C6AB" w:rsidR="008747F7" w:rsidRPr="008747F7" w:rsidRDefault="005465F2" w:rsidP="003F65B3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741CA5">
        <w:rPr>
          <w:rFonts w:ascii="Times New Roman" w:hAnsi="Times New Roman" w:cs="Times New Roman"/>
          <w:sz w:val="20"/>
          <w:szCs w:val="20"/>
        </w:rPr>
        <w:t>Однако спин частиц, из-за их различного движения в трехмерном пространстве, в любом случае вращается с несколько разными частотами вокруг инвариантной оси, что нарушает спиновую когерентность</w:t>
      </w:r>
      <w:r w:rsidR="0066379C" w:rsidRPr="00741CA5">
        <w:rPr>
          <w:rFonts w:ascii="Times New Roman" w:hAnsi="Times New Roman" w:cs="Times New Roman"/>
          <w:sz w:val="20"/>
          <w:szCs w:val="20"/>
        </w:rPr>
        <w:t>.</w:t>
      </w:r>
      <w:r w:rsidR="00CC5CBB">
        <w:rPr>
          <w:rFonts w:ascii="Times New Roman" w:hAnsi="Times New Roman" w:cs="Times New Roman"/>
          <w:sz w:val="20"/>
          <w:szCs w:val="20"/>
        </w:rPr>
        <w:t xml:space="preserve"> </w:t>
      </w:r>
      <w:r w:rsidR="00080AB8">
        <w:rPr>
          <w:rFonts w:ascii="Times New Roman" w:hAnsi="Times New Roman" w:cs="Times New Roman"/>
          <w:sz w:val="20"/>
          <w:szCs w:val="20"/>
        </w:rPr>
        <w:t>Рассмотрим</w:t>
      </w:r>
      <w:r w:rsidR="003F65B3">
        <w:rPr>
          <w:rFonts w:ascii="Times New Roman" w:hAnsi="Times New Roman" w:cs="Times New Roman"/>
          <w:sz w:val="20"/>
          <w:szCs w:val="20"/>
        </w:rPr>
        <w:t xml:space="preserve"> в</w:t>
      </w:r>
      <w:r w:rsidR="008747F7">
        <w:rPr>
          <w:rFonts w:ascii="Times New Roman" w:hAnsi="Times New Roman" w:cs="Times New Roman"/>
          <w:sz w:val="20"/>
          <w:szCs w:val="20"/>
        </w:rPr>
        <w:t>ыражени</w:t>
      </w:r>
      <w:r w:rsidR="008F28BA">
        <w:rPr>
          <w:rFonts w:ascii="Times New Roman" w:hAnsi="Times New Roman" w:cs="Times New Roman"/>
          <w:sz w:val="20"/>
          <w:szCs w:val="20"/>
        </w:rPr>
        <w:t>е</w:t>
      </w:r>
      <w:r w:rsidR="008747F7">
        <w:rPr>
          <w:rFonts w:ascii="Times New Roman" w:hAnsi="Times New Roman" w:cs="Times New Roman"/>
          <w:sz w:val="20"/>
          <w:szCs w:val="20"/>
        </w:rPr>
        <w:t xml:space="preserve"> для </w:t>
      </w:r>
      <w:r w:rsidR="008747F7" w:rsidRPr="008747F7">
        <w:rPr>
          <w:rFonts w:ascii="Times New Roman" w:hAnsi="Times New Roman" w:cs="Times New Roman"/>
          <w:sz w:val="20"/>
          <w:szCs w:val="20"/>
        </w:rPr>
        <w:t>энергетическ</w:t>
      </w:r>
      <w:r w:rsidR="008747F7">
        <w:rPr>
          <w:rFonts w:ascii="Times New Roman" w:hAnsi="Times New Roman" w:cs="Times New Roman"/>
          <w:sz w:val="20"/>
          <w:szCs w:val="20"/>
        </w:rPr>
        <w:t xml:space="preserve">ого разброса </w:t>
      </w:r>
      <w:r w:rsidR="00CC5CBB">
        <w:rPr>
          <w:rFonts w:ascii="Times New Roman" w:hAnsi="Times New Roman" w:cs="Times New Roman"/>
          <w:sz w:val="20"/>
          <w:szCs w:val="20"/>
        </w:rPr>
        <w:t xml:space="preserve">частиц </w:t>
      </w:r>
      <w:r w:rsidR="008747F7">
        <w:rPr>
          <w:rFonts w:ascii="Times New Roman" w:hAnsi="Times New Roman" w:cs="Times New Roman"/>
          <w:sz w:val="20"/>
          <w:szCs w:val="20"/>
        </w:rPr>
        <w:t>относительного</w:t>
      </w:r>
      <w:r w:rsidR="008747F7" w:rsidRPr="008747F7">
        <w:rPr>
          <w:rFonts w:ascii="Times New Roman" w:hAnsi="Times New Roman" w:cs="Times New Roman"/>
          <w:sz w:val="20"/>
          <w:szCs w:val="20"/>
        </w:rPr>
        <w:t xml:space="preserve"> равновесного уровня</w:t>
      </w:r>
      <w:r w:rsidR="008F28BA">
        <w:rPr>
          <w:rFonts w:ascii="Times New Roman" w:hAnsi="Times New Roman" w:cs="Times New Roman"/>
          <w:sz w:val="20"/>
          <w:szCs w:val="20"/>
        </w:rPr>
        <w:t xml:space="preserve"> </w:t>
      </w:r>
      <w:r w:rsidR="00CC5CBB">
        <w:rPr>
          <w:rFonts w:ascii="Times New Roman" w:hAnsi="Times New Roman" w:cs="Times New Roman"/>
          <w:sz w:val="20"/>
          <w:szCs w:val="20"/>
        </w:rPr>
        <w:t xml:space="preserve">имеет </w:t>
      </w:r>
      <w:r w:rsidR="003F65B3">
        <w:rPr>
          <w:rFonts w:ascii="Times New Roman" w:hAnsi="Times New Roman" w:cs="Times New Roman"/>
          <w:sz w:val="20"/>
          <w:szCs w:val="20"/>
        </w:rPr>
        <w:t>вид</w:t>
      </w:r>
      <w:r w:rsidR="003F65B3" w:rsidRPr="008F28BA">
        <w:rPr>
          <w:rFonts w:ascii="Times New Roman" w:hAnsi="Times New Roman" w:cs="Times New Roman"/>
          <w:sz w:val="20"/>
          <w:szCs w:val="20"/>
        </w:rPr>
        <w:t xml:space="preserve"> [</w:t>
      </w:r>
      <w:r w:rsidR="00CC5CBB" w:rsidRPr="00CC5CBB">
        <w:rPr>
          <w:rFonts w:ascii="Times New Roman" w:hAnsi="Times New Roman" w:cs="Times New Roman"/>
          <w:sz w:val="20"/>
          <w:szCs w:val="20"/>
        </w:rPr>
        <w:t>2</w:t>
      </w:r>
      <w:r w:rsidR="008F28BA" w:rsidRPr="008F28BA">
        <w:rPr>
          <w:rFonts w:ascii="Times New Roman" w:hAnsi="Times New Roman" w:cs="Times New Roman"/>
          <w:sz w:val="20"/>
          <w:szCs w:val="20"/>
        </w:rPr>
        <w:t xml:space="preserve">, </w:t>
      </w:r>
      <w:r w:rsidR="00CC5CBB" w:rsidRPr="00CC5CBB">
        <w:rPr>
          <w:rFonts w:ascii="Times New Roman" w:hAnsi="Times New Roman" w:cs="Times New Roman"/>
          <w:sz w:val="20"/>
          <w:szCs w:val="20"/>
        </w:rPr>
        <w:t>3</w:t>
      </w:r>
      <w:r w:rsidR="008F28BA" w:rsidRPr="008F28BA">
        <w:rPr>
          <w:rFonts w:ascii="Times New Roman" w:hAnsi="Times New Roman" w:cs="Times New Roman"/>
          <w:sz w:val="20"/>
          <w:szCs w:val="20"/>
        </w:rPr>
        <w:t>]</w:t>
      </w:r>
      <w:r w:rsidR="008747F7" w:rsidRPr="008747F7">
        <w:rPr>
          <w:rFonts w:ascii="Times New Roman" w:hAnsi="Times New Roman" w:cs="Times New Roman"/>
          <w:sz w:val="20"/>
          <w:szCs w:val="20"/>
        </w:rPr>
        <w:t>:</w:t>
      </w:r>
    </w:p>
    <w:p w14:paraId="68EC1E00" w14:textId="11370A72" w:rsidR="00741CA5" w:rsidRPr="008747F7" w:rsidRDefault="008747F7" w:rsidP="008747F7">
      <w:pPr>
        <w:ind w:firstLine="708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eq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</m:acc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14:paraId="14BA0D19" w14:textId="44C01EBF" w:rsidR="008F28BA" w:rsidRDefault="008F28BA" w:rsidP="008747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г</w:t>
      </w:r>
      <w:r w:rsidR="008747F7">
        <w:rPr>
          <w:rFonts w:ascii="Times New Roman" w:eastAsiaTheme="minorEastAsia" w:hAnsi="Times New Roman" w:cs="Times New Roman"/>
          <w:iCs/>
          <w:sz w:val="20"/>
          <w:szCs w:val="2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s</m:t>
            </m:r>
          </m:sub>
        </m:sSub>
      </m:oMath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softHyphen/>
        <w:t xml:space="preserve">— </w:t>
      </w:r>
      <w:r w:rsidR="008747F7">
        <w:rPr>
          <w:rFonts w:ascii="Times New Roman" w:eastAsiaTheme="minorEastAsia" w:hAnsi="Times New Roman" w:cs="Times New Roman"/>
          <w:sz w:val="20"/>
          <w:szCs w:val="20"/>
        </w:rPr>
        <w:t>равновесная энергия</w:t>
      </w:r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t xml:space="preserve"> — </w:t>
      </w:r>
      <w:r w:rsidR="008747F7">
        <w:rPr>
          <w:rFonts w:ascii="Times New Roman" w:eastAsiaTheme="minorEastAsia" w:hAnsi="Times New Roman" w:cs="Times New Roman"/>
          <w:sz w:val="20"/>
          <w:szCs w:val="20"/>
        </w:rPr>
        <w:t>первый и второй порядок коэффициента уплотнения орбиты</w:t>
      </w:r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</m:oMath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t xml:space="preserve">— </w:t>
      </w:r>
      <w:r w:rsidR="008747F7">
        <w:rPr>
          <w:rFonts w:ascii="Times New Roman" w:eastAsiaTheme="minorEastAsia" w:hAnsi="Times New Roman" w:cs="Times New Roman"/>
          <w:sz w:val="20"/>
          <w:szCs w:val="20"/>
        </w:rPr>
        <w:t>разброс по импульсу</w:t>
      </w:r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m:oMath>
        <m:r>
          <w:rPr>
            <w:rFonts w:ascii="Cambria Math" w:hAnsi="Cambria Math" w:cs="Times New Roman"/>
            <w:sz w:val="20"/>
            <w:szCs w:val="20"/>
          </w:rPr>
          <m:t>L</m:t>
        </m:r>
      </m:oMath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t xml:space="preserve"> — </w:t>
      </w:r>
      <w:r w:rsidR="008747F7">
        <w:rPr>
          <w:rFonts w:ascii="Times New Roman" w:eastAsiaTheme="minorEastAsia" w:hAnsi="Times New Roman" w:cs="Times New Roman"/>
          <w:sz w:val="20"/>
          <w:szCs w:val="20"/>
        </w:rPr>
        <w:t>равновесная длина</w:t>
      </w:r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sub>
        </m:sSub>
      </m:oMath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t xml:space="preserve">— </w:t>
      </w:r>
      <w:r w:rsidR="008747F7">
        <w:rPr>
          <w:rFonts w:ascii="Times New Roman" w:eastAsiaTheme="minorEastAsia" w:hAnsi="Times New Roman" w:cs="Times New Roman"/>
          <w:sz w:val="20"/>
          <w:szCs w:val="20"/>
        </w:rPr>
        <w:t>эмиттансы пучка</w:t>
      </w:r>
      <w:r w:rsidR="008747F7" w:rsidRPr="008747F7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sub>
        </m:sSub>
      </m:oMath>
      <w:r w:rsidRPr="008F28BA">
        <w:rPr>
          <w:rFonts w:ascii="Times New Roman" w:eastAsiaTheme="minorEastAsia" w:hAnsi="Times New Roman" w:cs="Times New Roman"/>
          <w:sz w:val="20"/>
          <w:szCs w:val="20"/>
        </w:rPr>
        <w:t xml:space="preserve"> — </w:t>
      </w:r>
      <w:r>
        <w:rPr>
          <w:rFonts w:ascii="Times New Roman" w:eastAsiaTheme="minorEastAsia" w:hAnsi="Times New Roman" w:cs="Times New Roman"/>
          <w:sz w:val="20"/>
          <w:szCs w:val="20"/>
        </w:rPr>
        <w:t>бетатронная частота.</w:t>
      </w:r>
    </w:p>
    <w:p w14:paraId="1968618D" w14:textId="77777777" w:rsidR="00CC5CBB" w:rsidRDefault="00CC5CBB" w:rsidP="008747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7E5D181" w14:textId="33D5884E" w:rsidR="008F28BA" w:rsidRPr="003F65B3" w:rsidRDefault="008F28BA" w:rsidP="003F65B3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Из Выражения (1) видно, что </w:t>
      </w:r>
      <w:r w:rsidR="00CC5CBB">
        <w:rPr>
          <w:rFonts w:ascii="Times New Roman" w:eastAsiaTheme="minorEastAsia" w:hAnsi="Times New Roman" w:cs="Times New Roman"/>
          <w:sz w:val="20"/>
          <w:szCs w:val="20"/>
        </w:rPr>
        <w:t>для достижения одинаково энергетического уровня различных частиц, необходимо влиять как на синхротронное движение, так и на бетатрон</w:t>
      </w:r>
      <w:r w:rsidR="003F65B3">
        <w:rPr>
          <w:rFonts w:ascii="Times New Roman" w:eastAsiaTheme="minorEastAsia" w:hAnsi="Times New Roman" w:cs="Times New Roman"/>
          <w:sz w:val="20"/>
          <w:szCs w:val="20"/>
        </w:rPr>
        <w:t>ное</w:t>
      </w:r>
      <w:r w:rsidR="00CC5CBB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C5CBB" w:rsidRPr="00741CA5">
        <w:rPr>
          <w:rFonts w:ascii="Times New Roman" w:hAnsi="Times New Roman" w:cs="Times New Roman"/>
          <w:sz w:val="20"/>
          <w:szCs w:val="20"/>
        </w:rPr>
        <w:t>Для обеспечения спиновой когерентности, нелинейные элементы, секступоли, должны быть установлены на арках</w:t>
      </w:r>
      <w:r w:rsidR="00CC5CBB" w:rsidRPr="00CC5CBB">
        <w:rPr>
          <w:rFonts w:ascii="Times New Roman" w:hAnsi="Times New Roman" w:cs="Times New Roman"/>
          <w:sz w:val="20"/>
          <w:szCs w:val="20"/>
        </w:rPr>
        <w:t xml:space="preserve">, </w:t>
      </w:r>
      <w:r w:rsidR="00CC5CBB">
        <w:rPr>
          <w:rFonts w:ascii="Times New Roman" w:eastAsiaTheme="minorEastAsia" w:hAnsi="Times New Roman" w:cs="Times New Roman"/>
          <w:sz w:val="20"/>
          <w:szCs w:val="20"/>
        </w:rPr>
        <w:t xml:space="preserve">в места с ненулевой дисперсией для варьирования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CC5CBB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CC5CBB" w:rsidRPr="00CC5CB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C5CBB" w:rsidRPr="00741CA5">
        <w:rPr>
          <w:rFonts w:ascii="Times New Roman" w:hAnsi="Times New Roman" w:cs="Times New Roman"/>
          <w:sz w:val="20"/>
          <w:szCs w:val="20"/>
        </w:rPr>
        <w:t xml:space="preserve">Однако, секступоли одновременно с этим влияют </w:t>
      </w:r>
      <w:r w:rsidR="003F65B3">
        <w:rPr>
          <w:rFonts w:ascii="Times New Roman" w:hAnsi="Times New Roman" w:cs="Times New Roman"/>
          <w:sz w:val="20"/>
          <w:szCs w:val="20"/>
        </w:rPr>
        <w:t xml:space="preserve">и </w:t>
      </w:r>
      <w:r w:rsidR="00CC5CBB" w:rsidRPr="00741CA5">
        <w:rPr>
          <w:rFonts w:ascii="Times New Roman" w:hAnsi="Times New Roman" w:cs="Times New Roman"/>
          <w:sz w:val="20"/>
          <w:szCs w:val="20"/>
        </w:rPr>
        <w:t>на бетатронную хроматичность. С учётом этой особенности, необходимо гарантировать стабильность поляризованного дейтронного пучка.</w:t>
      </w:r>
    </w:p>
    <w:p w14:paraId="71827421" w14:textId="34AE13CB" w:rsidR="00741CA5" w:rsidRDefault="00741CA5" w:rsidP="00580A14">
      <w:pPr>
        <w:ind w:firstLine="708"/>
        <w:jc w:val="both"/>
        <w:rPr>
          <w:rFonts w:ascii="Times New Roman" w:hAnsi="Times New Roman" w:cs="Times New Roman"/>
        </w:rPr>
      </w:pPr>
    </w:p>
    <w:p w14:paraId="7A0955F5" w14:textId="4DA5230D" w:rsidR="00741CA5" w:rsidRPr="001B611C" w:rsidRDefault="00741CA5" w:rsidP="00741CA5">
      <w:pPr>
        <w:ind w:firstLine="284"/>
        <w:contextualSpacing/>
        <w:jc w:val="center"/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  <w:lang w:val="en-US"/>
        </w:rPr>
      </w:pPr>
      <w:r w:rsidRPr="00243EDE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  <w:t>Список</w:t>
      </w:r>
      <w:r w:rsidRPr="001B611C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  <w:lang w:val="en-US"/>
        </w:rPr>
        <w:t xml:space="preserve"> </w:t>
      </w:r>
      <w:r w:rsidRPr="00243EDE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  <w:t>литературы</w:t>
      </w:r>
    </w:p>
    <w:p w14:paraId="3DE48393" w14:textId="41701E68" w:rsidR="00CC5CBB" w:rsidRPr="00CC5CBB" w:rsidRDefault="00741CA5" w:rsidP="00CC5CBB">
      <w:pPr>
        <w:ind w:firstLine="284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1</w:t>
      </w:r>
      <w:r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. 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>Quasi-frozen spin concept of magneto-optical structure of NICA adapted to study the electric dipole moment of the deuteron and to search for the axion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>Y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Senichev, A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Aksentyev, S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Kolokolchikov, A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Melnikov, V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>Ladygin</w:t>
      </w:r>
      <w:proofErr w:type="spellEnd"/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 xml:space="preserve"> E.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Syresin and N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Nikolaev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>Journal of Physics: Conference Series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>2420 (2023) 012052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CC5CBB" w:rsidRPr="00CC5CBB">
        <w:rPr>
          <w:rFonts w:ascii="Times New Roman" w:hAnsi="Times New Roman" w:cs="Times New Roman"/>
          <w:sz w:val="18"/>
          <w:szCs w:val="18"/>
          <w:lang w:val="en-US"/>
        </w:rPr>
        <w:t>doi:10.1088/1742-6596/2420/1/012052</w:t>
      </w:r>
      <w:r w:rsidR="00CC5C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20E6D255" w14:textId="6871777E" w:rsidR="00741CA5" w:rsidRPr="00741CA5" w:rsidRDefault="00CC5CBB" w:rsidP="00741CA5">
      <w:pPr>
        <w:ind w:firstLine="284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C5CB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. </w:t>
      </w:r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Spin Tune Decoherence in Multipole Fields, Yu. Senichev, A. Ivanov, A. </w:t>
      </w:r>
      <w:proofErr w:type="spellStart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Lehrach</w:t>
      </w:r>
      <w:proofErr w:type="spellEnd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, R. Maier, D. </w:t>
      </w:r>
      <w:proofErr w:type="spellStart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Zyuzin</w:t>
      </w:r>
      <w:proofErr w:type="spellEnd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, S. </w:t>
      </w:r>
      <w:proofErr w:type="spellStart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Andrianov</w:t>
      </w:r>
      <w:proofErr w:type="spellEnd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, </w:t>
      </w:r>
      <w:r w:rsidR="00741CA5" w:rsidRPr="00741CA5">
        <w:rPr>
          <w:rFonts w:ascii="Times New Roman" w:hAnsi="Times New Roman" w:cs="Times New Roman"/>
          <w:sz w:val="18"/>
          <w:szCs w:val="18"/>
          <w:lang w:val="en-US"/>
        </w:rPr>
        <w:t>IPAC2014, Dresden, Germany, doi:10.18429/JACoW-IPAC2014-THPRO062</w:t>
      </w:r>
    </w:p>
    <w:p w14:paraId="181BBB6B" w14:textId="3A32FF72" w:rsidR="00CC5CBB" w:rsidRPr="00CC5CBB" w:rsidRDefault="00CC5CBB" w:rsidP="00CC5CBB">
      <w:pPr>
        <w:ind w:firstLine="284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3</w:t>
      </w:r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. Investigation of Spin-Decoherence in the NICA Storage Ring for the Future EDM-Measurement Experiment, A. E. </w:t>
      </w:r>
      <w:proofErr w:type="spellStart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Aksentev</w:t>
      </w:r>
      <w:proofErr w:type="spellEnd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, A. A. Melnikov, Y. V. Senichev, V. P. </w:t>
      </w:r>
      <w:proofErr w:type="spellStart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Ladygin</w:t>
      </w:r>
      <w:proofErr w:type="spellEnd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, E. M. </w:t>
      </w:r>
      <w:proofErr w:type="spellStart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Syresin</w:t>
      </w:r>
      <w:proofErr w:type="spellEnd"/>
      <w:r w:rsidR="00741CA5"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, </w:t>
      </w:r>
      <w:r w:rsidR="00741CA5" w:rsidRPr="00741CA5">
        <w:rPr>
          <w:rFonts w:ascii="Times New Roman" w:hAnsi="Times New Roman" w:cs="Times New Roman"/>
          <w:sz w:val="18"/>
          <w:szCs w:val="18"/>
          <w:lang w:val="en-US"/>
        </w:rPr>
        <w:t>IPAC2022, Bangkok, Thailand, doi:10.18429/JACoW-IPAC2022-WEPOPT006</w:t>
      </w:r>
    </w:p>
    <w:p w14:paraId="153A2BB0" w14:textId="77777777" w:rsidR="00741CA5" w:rsidRPr="00741CA5" w:rsidRDefault="00741CA5" w:rsidP="00580A14">
      <w:pPr>
        <w:ind w:firstLine="708"/>
        <w:jc w:val="both"/>
        <w:rPr>
          <w:rFonts w:ascii="Times New Roman" w:hAnsi="Times New Roman" w:cs="Times New Roman"/>
          <w:lang w:val="en-US"/>
        </w:rPr>
      </w:pPr>
    </w:p>
    <w:sectPr w:rsidR="00741CA5" w:rsidRPr="00741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BA"/>
    <w:rsid w:val="00080AB8"/>
    <w:rsid w:val="00123EBA"/>
    <w:rsid w:val="001B611C"/>
    <w:rsid w:val="001F0FF6"/>
    <w:rsid w:val="002155FF"/>
    <w:rsid w:val="00293009"/>
    <w:rsid w:val="003436E7"/>
    <w:rsid w:val="003F65B3"/>
    <w:rsid w:val="00453300"/>
    <w:rsid w:val="00532452"/>
    <w:rsid w:val="005465F2"/>
    <w:rsid w:val="00580A14"/>
    <w:rsid w:val="00636EFA"/>
    <w:rsid w:val="0066379C"/>
    <w:rsid w:val="00712D22"/>
    <w:rsid w:val="00716814"/>
    <w:rsid w:val="00741CA5"/>
    <w:rsid w:val="008747F7"/>
    <w:rsid w:val="008C312A"/>
    <w:rsid w:val="008F28BA"/>
    <w:rsid w:val="008F33E8"/>
    <w:rsid w:val="008F5284"/>
    <w:rsid w:val="0091252C"/>
    <w:rsid w:val="00A335FE"/>
    <w:rsid w:val="00B328B4"/>
    <w:rsid w:val="00BD0FE9"/>
    <w:rsid w:val="00CC5CBB"/>
    <w:rsid w:val="00D84CBF"/>
    <w:rsid w:val="00E039AF"/>
    <w:rsid w:val="00EE2C22"/>
    <w:rsid w:val="00F25AD1"/>
    <w:rsid w:val="00F40E32"/>
    <w:rsid w:val="00F533ED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91B33"/>
  <w15:chartTrackingRefBased/>
  <w15:docId w15:val="{FBC4909B-8D3E-5845-8254-29B05AB6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3EBA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styleId="a3">
    <w:name w:val="Placeholder Text"/>
    <w:basedOn w:val="a0"/>
    <w:uiPriority w:val="99"/>
    <w:semiHidden/>
    <w:rsid w:val="00874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2022-11-24T11:16:00Z</dcterms:created>
  <dcterms:modified xsi:type="dcterms:W3CDTF">2023-03-16T11:49:00Z</dcterms:modified>
</cp:coreProperties>
</file>