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CF8D" w14:textId="6C1321A2" w:rsidR="00763156" w:rsidRPr="00F23C14" w:rsidRDefault="00763156" w:rsidP="00763156">
      <w:pPr>
        <w:pStyle w:val="Default"/>
        <w:jc w:val="center"/>
        <w:rPr>
          <w:sz w:val="22"/>
          <w:szCs w:val="22"/>
        </w:rPr>
      </w:pPr>
      <w:r w:rsidRPr="00741CA5">
        <w:rPr>
          <w:sz w:val="22"/>
          <w:szCs w:val="22"/>
        </w:rPr>
        <w:t>КОЛОКОЛЬЧИКОВ С.</w:t>
      </w:r>
      <w:r w:rsidRPr="00741CA5">
        <w:rPr>
          <w:sz w:val="22"/>
          <w:szCs w:val="22"/>
          <w:vertAlign w:val="superscript"/>
        </w:rPr>
        <w:t>1</w:t>
      </w:r>
      <w:r w:rsidR="00AB1CA6" w:rsidRPr="00AB1CA6">
        <w:rPr>
          <w:sz w:val="22"/>
          <w:szCs w:val="22"/>
          <w:vertAlign w:val="superscript"/>
        </w:rPr>
        <w:t>,2</w:t>
      </w:r>
      <w:r w:rsidRPr="00741CA5">
        <w:rPr>
          <w:sz w:val="22"/>
          <w:szCs w:val="22"/>
        </w:rPr>
        <w:t>, СЕНИЧЕВ Ю.</w:t>
      </w:r>
      <w:r w:rsidRPr="00741CA5">
        <w:rPr>
          <w:sz w:val="22"/>
          <w:szCs w:val="22"/>
          <w:vertAlign w:val="superscript"/>
        </w:rPr>
        <w:t>1</w:t>
      </w:r>
      <w:r w:rsidR="00AB1CA6" w:rsidRPr="00AB1CA6">
        <w:rPr>
          <w:sz w:val="22"/>
          <w:szCs w:val="22"/>
          <w:vertAlign w:val="superscript"/>
        </w:rPr>
        <w:t>,2</w:t>
      </w:r>
      <w:r w:rsidRPr="00741CA5">
        <w:rPr>
          <w:sz w:val="22"/>
          <w:szCs w:val="22"/>
        </w:rPr>
        <w:t>,</w:t>
      </w:r>
      <w:r w:rsidR="00AB1CA6">
        <w:rPr>
          <w:sz w:val="22"/>
          <w:szCs w:val="22"/>
        </w:rPr>
        <w:t xml:space="preserve"> </w:t>
      </w:r>
      <w:r w:rsidR="00F23C14">
        <w:rPr>
          <w:sz w:val="22"/>
          <w:szCs w:val="22"/>
        </w:rPr>
        <w:t>АКСЕНТЬЕВ А.</w:t>
      </w:r>
      <w:r w:rsidR="00F23C14" w:rsidRPr="00741CA5">
        <w:rPr>
          <w:sz w:val="22"/>
          <w:szCs w:val="22"/>
          <w:vertAlign w:val="superscript"/>
        </w:rPr>
        <w:t>1</w:t>
      </w:r>
      <w:r w:rsidR="00F23C14" w:rsidRPr="00AB1CA6">
        <w:rPr>
          <w:sz w:val="22"/>
          <w:szCs w:val="22"/>
          <w:vertAlign w:val="superscript"/>
        </w:rPr>
        <w:t>,2</w:t>
      </w:r>
      <w:r w:rsidR="00F23C14" w:rsidRPr="00F23C14">
        <w:rPr>
          <w:sz w:val="22"/>
          <w:szCs w:val="22"/>
          <w:vertAlign w:val="superscript"/>
        </w:rPr>
        <w:t>,3</w:t>
      </w:r>
      <w:r w:rsidR="00F23C14" w:rsidRPr="00F23C14">
        <w:rPr>
          <w:sz w:val="22"/>
          <w:szCs w:val="22"/>
        </w:rPr>
        <w:t xml:space="preserve">, </w:t>
      </w:r>
      <w:r w:rsidR="00F23C14">
        <w:rPr>
          <w:sz w:val="22"/>
          <w:szCs w:val="22"/>
        </w:rPr>
        <w:t>МЕЛЬНИКОВ А.</w:t>
      </w:r>
      <w:r w:rsidR="00F23C14" w:rsidRPr="00741CA5">
        <w:rPr>
          <w:sz w:val="22"/>
          <w:szCs w:val="22"/>
          <w:vertAlign w:val="superscript"/>
        </w:rPr>
        <w:t>1</w:t>
      </w:r>
      <w:r w:rsidR="00F23C14" w:rsidRPr="00AB1CA6">
        <w:rPr>
          <w:sz w:val="22"/>
          <w:szCs w:val="22"/>
          <w:vertAlign w:val="superscript"/>
        </w:rPr>
        <w:t>,2</w:t>
      </w:r>
      <w:r w:rsidR="00F23C14" w:rsidRPr="00F23C14">
        <w:rPr>
          <w:sz w:val="22"/>
          <w:szCs w:val="22"/>
          <w:vertAlign w:val="superscript"/>
        </w:rPr>
        <w:t>,4</w:t>
      </w:r>
    </w:p>
    <w:p w14:paraId="6DAE3D26" w14:textId="7FD95AED" w:rsidR="00AB1CA6" w:rsidRPr="00AB1CA6" w:rsidRDefault="00763156" w:rsidP="00763156">
      <w:pPr>
        <w:pStyle w:val="Default"/>
        <w:jc w:val="center"/>
        <w:rPr>
          <w:rFonts w:eastAsia="Times New Roman"/>
          <w:i/>
          <w:iCs/>
          <w:sz w:val="18"/>
          <w:szCs w:val="18"/>
        </w:rPr>
      </w:pPr>
      <w:r w:rsidRPr="00741CA5">
        <w:rPr>
          <w:i/>
          <w:iCs/>
          <w:sz w:val="18"/>
          <w:szCs w:val="18"/>
          <w:vertAlign w:val="superscript"/>
        </w:rPr>
        <w:t>1</w:t>
      </w:r>
      <w:r w:rsidRPr="00741CA5">
        <w:rPr>
          <w:i/>
          <w:iCs/>
          <w:sz w:val="18"/>
          <w:szCs w:val="18"/>
        </w:rPr>
        <w:t>Иститут Ядерных Исследований РАН, Москва, Россия,</w:t>
      </w:r>
      <w:r w:rsidR="00AB1CA6">
        <w:rPr>
          <w:i/>
          <w:iCs/>
          <w:sz w:val="18"/>
          <w:szCs w:val="18"/>
        </w:rPr>
        <w:br/>
      </w:r>
      <w:r w:rsidR="00AB1CA6" w:rsidRPr="00AB1CA6">
        <w:rPr>
          <w:rFonts w:eastAsia="Times New Roman"/>
          <w:i/>
          <w:iCs/>
          <w:sz w:val="18"/>
          <w:szCs w:val="18"/>
          <w:vertAlign w:val="superscript"/>
        </w:rPr>
        <w:t>2</w:t>
      </w:r>
      <w:r w:rsidR="00AB1CA6" w:rsidRPr="00AB1CA6">
        <w:rPr>
          <w:rFonts w:eastAsia="Times New Roman"/>
          <w:i/>
          <w:iCs/>
          <w:sz w:val="18"/>
          <w:szCs w:val="18"/>
        </w:rPr>
        <w:t>Московский физико-технический институт, Долгопрудный</w:t>
      </w:r>
      <w:r w:rsidR="007925A9">
        <w:rPr>
          <w:rFonts w:eastAsia="Times New Roman"/>
          <w:i/>
          <w:iCs/>
          <w:sz w:val="18"/>
          <w:szCs w:val="18"/>
        </w:rPr>
        <w:t>, Россия</w:t>
      </w:r>
      <w:r w:rsidR="00AB1CA6" w:rsidRPr="00AB1CA6">
        <w:rPr>
          <w:rFonts w:eastAsia="Times New Roman"/>
          <w:i/>
          <w:iCs/>
          <w:sz w:val="18"/>
          <w:szCs w:val="18"/>
        </w:rPr>
        <w:t>,</w:t>
      </w:r>
    </w:p>
    <w:p w14:paraId="2AB54EA3" w14:textId="77777777" w:rsidR="007925A9" w:rsidRDefault="00AB1CA6" w:rsidP="00F23C14">
      <w:pPr>
        <w:pStyle w:val="Default"/>
        <w:jc w:val="center"/>
        <w:rPr>
          <w:rFonts w:eastAsia="Times New Roman"/>
          <w:i/>
          <w:iCs/>
          <w:sz w:val="18"/>
          <w:szCs w:val="18"/>
        </w:rPr>
      </w:pPr>
      <w:r w:rsidRPr="00AB1CA6">
        <w:rPr>
          <w:rFonts w:eastAsia="Times New Roman"/>
          <w:i/>
          <w:iCs/>
          <w:sz w:val="18"/>
          <w:szCs w:val="18"/>
          <w:vertAlign w:val="superscript"/>
        </w:rPr>
        <w:t>3</w:t>
      </w:r>
      <w:r w:rsidR="007925A9" w:rsidRPr="007925A9">
        <w:rPr>
          <w:rFonts w:eastAsia="Times New Roman"/>
          <w:i/>
          <w:iCs/>
          <w:sz w:val="18"/>
          <w:szCs w:val="18"/>
        </w:rPr>
        <w:t xml:space="preserve">Московский инженерно-физический институт, </w:t>
      </w:r>
      <w:r w:rsidR="007925A9">
        <w:rPr>
          <w:rFonts w:eastAsia="Times New Roman"/>
          <w:i/>
          <w:iCs/>
          <w:sz w:val="18"/>
          <w:szCs w:val="18"/>
        </w:rPr>
        <w:t>Москва, Россия</w:t>
      </w:r>
    </w:p>
    <w:p w14:paraId="2F10B238" w14:textId="086FB411" w:rsidR="007925A9" w:rsidRPr="007925A9" w:rsidRDefault="007925A9" w:rsidP="00F23C14">
      <w:pPr>
        <w:pStyle w:val="Default"/>
        <w:jc w:val="center"/>
        <w:rPr>
          <w:rFonts w:eastAsia="Times New Roman"/>
          <w:i/>
          <w:iCs/>
          <w:sz w:val="18"/>
          <w:szCs w:val="18"/>
        </w:rPr>
      </w:pPr>
      <w:r>
        <w:rPr>
          <w:rFonts w:eastAsia="Times New Roman"/>
          <w:i/>
          <w:iCs/>
          <w:sz w:val="18"/>
          <w:szCs w:val="18"/>
          <w:vertAlign w:val="superscript"/>
        </w:rPr>
        <w:t>4</w:t>
      </w:r>
      <w:r w:rsidRPr="007925A9">
        <w:rPr>
          <w:rFonts w:eastAsia="Times New Roman"/>
          <w:i/>
          <w:iCs/>
          <w:sz w:val="18"/>
          <w:szCs w:val="18"/>
        </w:rPr>
        <w:t xml:space="preserve">Институт теоретической физики им. Л.Д. Ландау, </w:t>
      </w:r>
      <w:r>
        <w:rPr>
          <w:rFonts w:eastAsia="Times New Roman"/>
          <w:i/>
          <w:iCs/>
          <w:sz w:val="18"/>
          <w:szCs w:val="18"/>
        </w:rPr>
        <w:t>Черноголовка, Россия</w:t>
      </w:r>
    </w:p>
    <w:p w14:paraId="35E1CEA7" w14:textId="77777777" w:rsidR="007D0681" w:rsidRPr="007D0681" w:rsidRDefault="007D0681" w:rsidP="007D0681">
      <w:pPr>
        <w:spacing w:after="0" w:line="240" w:lineRule="auto"/>
        <w:jc w:val="center"/>
        <w:rPr>
          <w:rFonts w:ascii="Times New Roman" w:hAnsi="Times New Roman" w:cs="Times New Roman"/>
          <w:bCs/>
          <w:i/>
          <w:color w:val="222222"/>
          <w:sz w:val="20"/>
          <w:shd w:val="clear" w:color="auto" w:fill="FFFFFF"/>
        </w:rPr>
      </w:pPr>
    </w:p>
    <w:p w14:paraId="1FB44030" w14:textId="5095A8B2" w:rsidR="00A50FE3" w:rsidRPr="00795C2E" w:rsidRDefault="00763156" w:rsidP="007D06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ПРОХОЖДЕНИЕ КРИТИЧЕСКОЙ ЭНЕРГИИ </w:t>
      </w:r>
      <w:r w:rsidR="00795C2E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ПРОТОННЫМ ПУЧКОМ</w:t>
      </w:r>
      <w:r w:rsidR="004938E7" w:rsidRPr="004938E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</w:t>
      </w: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В ГА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Р</w:t>
      </w: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МОНИЧЕСКОМ</w:t>
      </w:r>
      <w:r w:rsidR="000B4BA1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И БАРЬЕРНОМ</w:t>
      </w:r>
      <w:r w:rsidRPr="0076315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ВЧ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</w:t>
      </w:r>
      <w:r w:rsidR="004938E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КОЛЛАЙДЕРА </w:t>
      </w:r>
      <w:r w:rsidR="004938E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>NICA</w:t>
      </w:r>
    </w:p>
    <w:p w14:paraId="4A3065AB" w14:textId="77777777" w:rsidR="007D0681" w:rsidRPr="007D0681" w:rsidRDefault="007D0681" w:rsidP="007D068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hd w:val="clear" w:color="auto" w:fill="FFFFFF"/>
        </w:rPr>
      </w:pPr>
    </w:p>
    <w:p w14:paraId="1DA382D0" w14:textId="057FAB8E" w:rsidR="009C44EA" w:rsidRPr="009C44EA" w:rsidRDefault="00B840AE" w:rsidP="00AB1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Рассматрива</w:t>
      </w:r>
      <w:r w:rsidR="00EE3D1D">
        <w:rPr>
          <w:rFonts w:ascii="Times New Roman" w:hAnsi="Times New Roman" w:cs="Times New Roman"/>
          <w:sz w:val="18"/>
          <w:szCs w:val="24"/>
        </w:rPr>
        <w:t xml:space="preserve">ется скачкообразное прохождение критической энергии со сдвигом бетатронной частоты для сохранения стабильности пучка. </w:t>
      </w:r>
      <w:r w:rsidR="009C44EA">
        <w:rPr>
          <w:rFonts w:ascii="Times New Roman" w:hAnsi="Times New Roman" w:cs="Times New Roman"/>
          <w:sz w:val="18"/>
          <w:szCs w:val="24"/>
        </w:rPr>
        <w:t xml:space="preserve">Коллайдер </w:t>
      </w:r>
      <w:r w:rsidR="009C44EA">
        <w:rPr>
          <w:rFonts w:ascii="Times New Roman" w:hAnsi="Times New Roman" w:cs="Times New Roman"/>
          <w:sz w:val="18"/>
          <w:szCs w:val="24"/>
          <w:lang w:val="en-US"/>
        </w:rPr>
        <w:t>NICA</w:t>
      </w:r>
      <w:r w:rsidR="009C44EA" w:rsidRPr="009C44EA">
        <w:rPr>
          <w:rFonts w:ascii="Times New Roman" w:hAnsi="Times New Roman" w:cs="Times New Roman"/>
          <w:sz w:val="18"/>
          <w:szCs w:val="24"/>
        </w:rPr>
        <w:t xml:space="preserve"> </w:t>
      </w:r>
      <w:r w:rsidR="009C44EA">
        <w:rPr>
          <w:rFonts w:ascii="Times New Roman" w:hAnsi="Times New Roman" w:cs="Times New Roman"/>
          <w:sz w:val="18"/>
          <w:szCs w:val="24"/>
        </w:rPr>
        <w:t>имеет отличные по своему принципу работы ускоряющие ВЧ станции</w:t>
      </w:r>
      <w:r w:rsidR="00F12F16" w:rsidRPr="00F12F16">
        <w:rPr>
          <w:rFonts w:ascii="Times New Roman" w:hAnsi="Times New Roman" w:cs="Times New Roman"/>
          <w:sz w:val="18"/>
          <w:szCs w:val="24"/>
        </w:rPr>
        <w:t>:</w:t>
      </w:r>
      <w:r w:rsidR="00F12F16">
        <w:rPr>
          <w:rFonts w:ascii="Times New Roman" w:hAnsi="Times New Roman" w:cs="Times New Roman"/>
          <w:sz w:val="18"/>
          <w:szCs w:val="24"/>
        </w:rPr>
        <w:t xml:space="preserve"> барьерная и гармоническая</w:t>
      </w:r>
      <w:r w:rsidR="00AB1CA6" w:rsidRPr="009C44EA">
        <w:rPr>
          <w:rFonts w:ascii="Times New Roman" w:hAnsi="Times New Roman" w:cs="Times New Roman"/>
          <w:sz w:val="18"/>
          <w:szCs w:val="24"/>
        </w:rPr>
        <w:t>.</w:t>
      </w:r>
      <w:r w:rsidR="009C44EA">
        <w:rPr>
          <w:rFonts w:ascii="Times New Roman" w:hAnsi="Times New Roman" w:cs="Times New Roman"/>
          <w:sz w:val="18"/>
          <w:szCs w:val="24"/>
        </w:rPr>
        <w:t xml:space="preserve"> В силу их особенностей, </w:t>
      </w:r>
      <w:r w:rsidR="00F23C14">
        <w:rPr>
          <w:rFonts w:ascii="Times New Roman" w:hAnsi="Times New Roman" w:cs="Times New Roman"/>
          <w:sz w:val="18"/>
          <w:szCs w:val="24"/>
        </w:rPr>
        <w:t xml:space="preserve">отличается и динамика продольного движения, влияющая также и на </w:t>
      </w:r>
      <w:r w:rsidR="009C44EA">
        <w:rPr>
          <w:rFonts w:ascii="Times New Roman" w:hAnsi="Times New Roman" w:cs="Times New Roman"/>
          <w:sz w:val="18"/>
          <w:szCs w:val="24"/>
        </w:rPr>
        <w:t xml:space="preserve">прохождение критической </w:t>
      </w:r>
      <w:r w:rsidR="00F23C14">
        <w:rPr>
          <w:rFonts w:ascii="Times New Roman" w:hAnsi="Times New Roman" w:cs="Times New Roman"/>
          <w:sz w:val="18"/>
          <w:szCs w:val="24"/>
        </w:rPr>
        <w:t>энергии.</w:t>
      </w:r>
    </w:p>
    <w:p w14:paraId="73FE4249" w14:textId="06A01AED" w:rsidR="00AB1CA6" w:rsidRPr="009C44EA" w:rsidRDefault="00AB1CA6" w:rsidP="00AB1CA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</w:p>
    <w:p w14:paraId="6F69CD13" w14:textId="56D42200" w:rsidR="00AB1CA6" w:rsidRPr="004C623B" w:rsidRDefault="00AB1CA6" w:rsidP="00AB1CA6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KOLOKOLCHIKOV</w:t>
      </w:r>
      <w:r w:rsidRPr="004C623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S</w:t>
      </w:r>
      <w:r w:rsidRPr="004C623B">
        <w:rPr>
          <w:sz w:val="22"/>
          <w:szCs w:val="22"/>
        </w:rPr>
        <w:t>.</w:t>
      </w:r>
      <w:r w:rsidRPr="004C623B">
        <w:rPr>
          <w:sz w:val="22"/>
          <w:szCs w:val="22"/>
          <w:vertAlign w:val="superscript"/>
        </w:rPr>
        <w:t>1,2</w:t>
      </w:r>
      <w:r w:rsidRPr="004C623B">
        <w:rPr>
          <w:sz w:val="22"/>
          <w:szCs w:val="22"/>
        </w:rPr>
        <w:t xml:space="preserve">, </w:t>
      </w:r>
      <w:r>
        <w:rPr>
          <w:sz w:val="22"/>
          <w:szCs w:val="22"/>
          <w:lang w:val="en-US"/>
        </w:rPr>
        <w:t>SENICHEV</w:t>
      </w:r>
      <w:r w:rsidRPr="004C623B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Yu</w:t>
      </w:r>
      <w:r w:rsidRPr="004C623B">
        <w:rPr>
          <w:sz w:val="22"/>
          <w:szCs w:val="22"/>
        </w:rPr>
        <w:t>.</w:t>
      </w:r>
      <w:r w:rsidRPr="004C623B">
        <w:rPr>
          <w:sz w:val="22"/>
          <w:szCs w:val="22"/>
          <w:vertAlign w:val="superscript"/>
        </w:rPr>
        <w:t>1,2</w:t>
      </w:r>
      <w:r w:rsidRPr="004C623B">
        <w:rPr>
          <w:sz w:val="22"/>
          <w:szCs w:val="22"/>
        </w:rPr>
        <w:t xml:space="preserve">, </w:t>
      </w:r>
      <w:r w:rsidR="004C623B">
        <w:rPr>
          <w:sz w:val="22"/>
          <w:szCs w:val="22"/>
          <w:lang w:val="en-US"/>
        </w:rPr>
        <w:t>AKSENTYEV</w:t>
      </w:r>
      <w:r w:rsidR="004C623B">
        <w:rPr>
          <w:sz w:val="22"/>
          <w:szCs w:val="22"/>
        </w:rPr>
        <w:t xml:space="preserve"> </w:t>
      </w:r>
      <w:r w:rsidR="004C623B">
        <w:rPr>
          <w:sz w:val="22"/>
          <w:szCs w:val="22"/>
          <w:lang w:val="en-US"/>
        </w:rPr>
        <w:t>A</w:t>
      </w:r>
      <w:r w:rsidR="004C623B">
        <w:rPr>
          <w:sz w:val="22"/>
          <w:szCs w:val="22"/>
        </w:rPr>
        <w:t>.</w:t>
      </w:r>
      <w:r w:rsidR="004C623B" w:rsidRPr="00741CA5">
        <w:rPr>
          <w:sz w:val="22"/>
          <w:szCs w:val="22"/>
          <w:vertAlign w:val="superscript"/>
        </w:rPr>
        <w:t>1</w:t>
      </w:r>
      <w:r w:rsidR="004C623B" w:rsidRPr="00AB1CA6">
        <w:rPr>
          <w:sz w:val="22"/>
          <w:szCs w:val="22"/>
          <w:vertAlign w:val="superscript"/>
        </w:rPr>
        <w:t>,2</w:t>
      </w:r>
      <w:r w:rsidR="004C623B" w:rsidRPr="00F23C14">
        <w:rPr>
          <w:sz w:val="22"/>
          <w:szCs w:val="22"/>
          <w:vertAlign w:val="superscript"/>
        </w:rPr>
        <w:t>,3</w:t>
      </w:r>
      <w:r w:rsidR="004C623B" w:rsidRPr="00F23C14">
        <w:rPr>
          <w:sz w:val="22"/>
          <w:szCs w:val="22"/>
        </w:rPr>
        <w:t xml:space="preserve">, </w:t>
      </w:r>
      <w:r w:rsidR="004C623B">
        <w:rPr>
          <w:sz w:val="22"/>
          <w:szCs w:val="22"/>
          <w:lang w:val="en-US"/>
        </w:rPr>
        <w:t>MELNIKOV</w:t>
      </w:r>
      <w:r w:rsidR="004C623B" w:rsidRPr="004C623B">
        <w:rPr>
          <w:sz w:val="22"/>
          <w:szCs w:val="22"/>
        </w:rPr>
        <w:t xml:space="preserve"> </w:t>
      </w:r>
      <w:r w:rsidR="004C623B">
        <w:rPr>
          <w:sz w:val="22"/>
          <w:szCs w:val="22"/>
          <w:lang w:val="en-US"/>
        </w:rPr>
        <w:t>A</w:t>
      </w:r>
      <w:r w:rsidR="004C623B">
        <w:rPr>
          <w:sz w:val="22"/>
          <w:szCs w:val="22"/>
        </w:rPr>
        <w:t>.</w:t>
      </w:r>
      <w:r w:rsidR="004C623B" w:rsidRPr="00741CA5">
        <w:rPr>
          <w:sz w:val="22"/>
          <w:szCs w:val="22"/>
          <w:vertAlign w:val="superscript"/>
        </w:rPr>
        <w:t>1</w:t>
      </w:r>
      <w:r w:rsidR="004C623B" w:rsidRPr="00AB1CA6">
        <w:rPr>
          <w:sz w:val="22"/>
          <w:szCs w:val="22"/>
          <w:vertAlign w:val="superscript"/>
        </w:rPr>
        <w:t>,2</w:t>
      </w:r>
      <w:r w:rsidR="004C623B" w:rsidRPr="00F23C14">
        <w:rPr>
          <w:sz w:val="22"/>
          <w:szCs w:val="22"/>
          <w:vertAlign w:val="superscript"/>
        </w:rPr>
        <w:t>,4</w:t>
      </w:r>
    </w:p>
    <w:p w14:paraId="16E31774" w14:textId="77777777" w:rsidR="00AB1CA6" w:rsidRPr="00741CA5" w:rsidRDefault="00AB1CA6" w:rsidP="00AB1CA6">
      <w:pPr>
        <w:pStyle w:val="Default"/>
        <w:jc w:val="center"/>
        <w:rPr>
          <w:i/>
          <w:iCs/>
          <w:sz w:val="18"/>
          <w:szCs w:val="18"/>
          <w:lang w:val="en-US"/>
        </w:rPr>
      </w:pPr>
      <w:r w:rsidRPr="00741CA5">
        <w:rPr>
          <w:i/>
          <w:iCs/>
          <w:sz w:val="18"/>
          <w:szCs w:val="18"/>
          <w:vertAlign w:val="superscript"/>
          <w:lang w:val="en-US"/>
        </w:rPr>
        <w:t>1</w:t>
      </w:r>
      <w:r>
        <w:rPr>
          <w:i/>
          <w:iCs/>
          <w:sz w:val="18"/>
          <w:szCs w:val="18"/>
          <w:lang w:val="en-US"/>
        </w:rPr>
        <w:t>Institute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for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Nuclear</w:t>
      </w:r>
      <w:r w:rsidRPr="00741CA5">
        <w:rPr>
          <w:i/>
          <w:iCs/>
          <w:sz w:val="18"/>
          <w:szCs w:val="18"/>
          <w:lang w:val="en-US"/>
        </w:rPr>
        <w:t xml:space="preserve"> </w:t>
      </w:r>
      <w:r>
        <w:rPr>
          <w:i/>
          <w:iCs/>
          <w:sz w:val="18"/>
          <w:szCs w:val="18"/>
          <w:lang w:val="en-US"/>
        </w:rPr>
        <w:t>Research RAS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Moscow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  <w:r w:rsidRPr="00741CA5">
        <w:rPr>
          <w:i/>
          <w:iCs/>
          <w:sz w:val="18"/>
          <w:szCs w:val="18"/>
          <w:lang w:val="en-US"/>
        </w:rPr>
        <w:t>,</w:t>
      </w:r>
    </w:p>
    <w:p w14:paraId="1081B0D6" w14:textId="5DF781BE" w:rsidR="00AB1CA6" w:rsidRPr="00741CA5" w:rsidRDefault="00AB1CA6" w:rsidP="00AB1CA6">
      <w:pPr>
        <w:pStyle w:val="Default"/>
        <w:jc w:val="center"/>
        <w:rPr>
          <w:i/>
          <w:iCs/>
          <w:sz w:val="18"/>
          <w:szCs w:val="18"/>
          <w:lang w:val="en-US"/>
        </w:rPr>
      </w:pPr>
      <w:r>
        <w:rPr>
          <w:i/>
          <w:iCs/>
          <w:sz w:val="18"/>
          <w:szCs w:val="18"/>
          <w:vertAlign w:val="superscript"/>
          <w:lang w:val="en-US"/>
        </w:rPr>
        <w:t>2</w:t>
      </w:r>
      <w:r w:rsidRPr="00AB1CA6">
        <w:rPr>
          <w:i/>
          <w:iCs/>
          <w:sz w:val="18"/>
          <w:szCs w:val="18"/>
          <w:lang w:val="en-US"/>
        </w:rPr>
        <w:t>Moscow Institute of Physics and Technology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Dolgoprudny</w:t>
      </w:r>
      <w:r w:rsidRPr="00741CA5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  <w:r w:rsidRPr="00741CA5">
        <w:rPr>
          <w:i/>
          <w:iCs/>
          <w:sz w:val="18"/>
          <w:szCs w:val="18"/>
          <w:lang w:val="en-US"/>
        </w:rPr>
        <w:t>,</w:t>
      </w:r>
    </w:p>
    <w:p w14:paraId="3B8FDB21" w14:textId="4C3BF317" w:rsidR="007925A9" w:rsidRPr="007925A9" w:rsidRDefault="007925A9" w:rsidP="007925A9">
      <w:pPr>
        <w:pStyle w:val="Default"/>
        <w:jc w:val="center"/>
        <w:rPr>
          <w:rFonts w:eastAsia="Times New Roman"/>
          <w:i/>
          <w:iCs/>
          <w:sz w:val="18"/>
          <w:szCs w:val="18"/>
          <w:lang w:val="en-US"/>
        </w:rPr>
      </w:pPr>
      <w:r w:rsidRPr="007925A9">
        <w:rPr>
          <w:rFonts w:eastAsia="Times New Roman"/>
          <w:i/>
          <w:iCs/>
          <w:sz w:val="18"/>
          <w:szCs w:val="18"/>
          <w:vertAlign w:val="superscript"/>
          <w:lang w:val="en-US"/>
        </w:rPr>
        <w:t>3</w:t>
      </w:r>
      <w:r w:rsidRPr="007925A9">
        <w:rPr>
          <w:lang w:val="en-US"/>
        </w:rPr>
        <w:t xml:space="preserve"> </w:t>
      </w:r>
      <w:r w:rsidRPr="007925A9">
        <w:rPr>
          <w:rFonts w:eastAsia="Times New Roman"/>
          <w:i/>
          <w:iCs/>
          <w:sz w:val="18"/>
          <w:szCs w:val="18"/>
          <w:lang w:val="en-US"/>
        </w:rPr>
        <w:t>Moscow Engineering Physic</w:t>
      </w:r>
      <w:r>
        <w:rPr>
          <w:rFonts w:eastAsia="Times New Roman"/>
          <w:i/>
          <w:iCs/>
          <w:sz w:val="18"/>
          <w:szCs w:val="18"/>
          <w:lang w:val="en-US"/>
        </w:rPr>
        <w:t>s</w:t>
      </w:r>
      <w:r w:rsidRPr="007925A9">
        <w:rPr>
          <w:rFonts w:eastAsia="Times New Roman"/>
          <w:i/>
          <w:iCs/>
          <w:sz w:val="18"/>
          <w:szCs w:val="18"/>
          <w:lang w:val="en-US"/>
        </w:rPr>
        <w:t xml:space="preserve"> Institute, </w:t>
      </w:r>
      <w:r>
        <w:rPr>
          <w:i/>
          <w:iCs/>
          <w:sz w:val="18"/>
          <w:szCs w:val="18"/>
          <w:lang w:val="en-US"/>
        </w:rPr>
        <w:t>Moscow</w:t>
      </w:r>
      <w:r w:rsidRPr="007925A9">
        <w:rPr>
          <w:i/>
          <w:iCs/>
          <w:sz w:val="18"/>
          <w:szCs w:val="18"/>
          <w:lang w:val="en-US"/>
        </w:rPr>
        <w:t xml:space="preserve">, </w:t>
      </w:r>
      <w:r>
        <w:rPr>
          <w:i/>
          <w:iCs/>
          <w:sz w:val="18"/>
          <w:szCs w:val="18"/>
          <w:lang w:val="en-US"/>
        </w:rPr>
        <w:t>Russia</w:t>
      </w:r>
    </w:p>
    <w:p w14:paraId="18D65177" w14:textId="4DD78086" w:rsidR="007925A9" w:rsidRPr="007925A9" w:rsidRDefault="007925A9" w:rsidP="007925A9">
      <w:pPr>
        <w:pStyle w:val="Default"/>
        <w:jc w:val="center"/>
        <w:rPr>
          <w:rFonts w:eastAsia="Times New Roman"/>
          <w:i/>
          <w:iCs/>
          <w:sz w:val="18"/>
          <w:szCs w:val="18"/>
          <w:lang w:val="en-US"/>
        </w:rPr>
      </w:pPr>
      <w:r w:rsidRPr="007925A9">
        <w:rPr>
          <w:rFonts w:eastAsia="Times New Roman"/>
          <w:i/>
          <w:iCs/>
          <w:sz w:val="18"/>
          <w:szCs w:val="18"/>
          <w:vertAlign w:val="superscript"/>
          <w:lang w:val="en-US"/>
        </w:rPr>
        <w:t>4</w:t>
      </w:r>
      <w:r w:rsidRPr="007925A9">
        <w:rPr>
          <w:lang w:val="en-US"/>
        </w:rPr>
        <w:t xml:space="preserve"> </w:t>
      </w:r>
      <w:r w:rsidRPr="007925A9">
        <w:rPr>
          <w:rFonts w:eastAsia="Times New Roman"/>
          <w:i/>
          <w:iCs/>
          <w:sz w:val="18"/>
          <w:szCs w:val="18"/>
          <w:lang w:val="en-US"/>
        </w:rPr>
        <w:t>Institute for Theoretical Physics. L</w:t>
      </w:r>
      <w:r>
        <w:rPr>
          <w:rFonts w:eastAsia="Times New Roman"/>
          <w:i/>
          <w:iCs/>
          <w:sz w:val="18"/>
          <w:szCs w:val="18"/>
          <w:lang w:val="en-US"/>
        </w:rPr>
        <w:t>.</w:t>
      </w:r>
      <w:r w:rsidRPr="007925A9">
        <w:rPr>
          <w:rFonts w:eastAsia="Times New Roman"/>
          <w:i/>
          <w:iCs/>
          <w:sz w:val="18"/>
          <w:szCs w:val="18"/>
          <w:lang w:val="en-US"/>
        </w:rPr>
        <w:t>D</w:t>
      </w:r>
      <w:r>
        <w:rPr>
          <w:rFonts w:eastAsia="Times New Roman"/>
          <w:i/>
          <w:iCs/>
          <w:sz w:val="18"/>
          <w:szCs w:val="18"/>
          <w:lang w:val="en-US"/>
        </w:rPr>
        <w:t>.</w:t>
      </w:r>
      <w:r w:rsidRPr="007925A9">
        <w:rPr>
          <w:rFonts w:eastAsia="Times New Roman"/>
          <w:i/>
          <w:iCs/>
          <w:sz w:val="18"/>
          <w:szCs w:val="18"/>
          <w:lang w:val="en-US"/>
        </w:rPr>
        <w:t xml:space="preserve"> Landau, </w:t>
      </w:r>
      <w:r>
        <w:rPr>
          <w:rFonts w:eastAsia="Times New Roman"/>
          <w:i/>
          <w:iCs/>
          <w:sz w:val="18"/>
          <w:szCs w:val="18"/>
          <w:lang w:val="en-US"/>
        </w:rPr>
        <w:t>Chernogolovka</w:t>
      </w:r>
      <w:r w:rsidRPr="007925A9">
        <w:rPr>
          <w:rFonts w:eastAsia="Times New Roman"/>
          <w:i/>
          <w:iCs/>
          <w:sz w:val="18"/>
          <w:szCs w:val="18"/>
          <w:lang w:val="en-US"/>
        </w:rPr>
        <w:t xml:space="preserve">, </w:t>
      </w:r>
      <w:r>
        <w:rPr>
          <w:rFonts w:eastAsia="Times New Roman"/>
          <w:i/>
          <w:iCs/>
          <w:sz w:val="18"/>
          <w:szCs w:val="18"/>
          <w:lang w:val="en-US"/>
        </w:rPr>
        <w:t>Russia</w:t>
      </w:r>
    </w:p>
    <w:p w14:paraId="7EE0C8BB" w14:textId="77777777" w:rsidR="00AB1CA6" w:rsidRPr="007925A9" w:rsidRDefault="00AB1CA6" w:rsidP="007D0681">
      <w:pPr>
        <w:pStyle w:val="StyleTitleLeft005cm"/>
        <w:spacing w:before="0" w:after="0"/>
        <w:jc w:val="center"/>
        <w:rPr>
          <w:rFonts w:ascii="Times New Roman" w:hAnsi="Times New Roman"/>
          <w:sz w:val="20"/>
          <w:szCs w:val="18"/>
          <w:lang w:val="en-US"/>
        </w:rPr>
      </w:pPr>
    </w:p>
    <w:p w14:paraId="4128E3B2" w14:textId="6DB85E2C" w:rsidR="00A50FE3" w:rsidRDefault="00A50FE3" w:rsidP="007D0681">
      <w:pPr>
        <w:pStyle w:val="StyleTitleLeft005cm"/>
        <w:spacing w:before="0" w:after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TRANSITION ENERGY CROSSING IN HARMONIC</w:t>
      </w:r>
      <w:r w:rsidR="004938E7">
        <w:rPr>
          <w:rFonts w:ascii="Times New Roman" w:hAnsi="Times New Roman"/>
          <w:sz w:val="22"/>
        </w:rPr>
        <w:t xml:space="preserve"> AND BARRIER BUCKET</w:t>
      </w:r>
      <w:r>
        <w:rPr>
          <w:rFonts w:ascii="Times New Roman" w:hAnsi="Times New Roman"/>
          <w:sz w:val="22"/>
        </w:rPr>
        <w:t xml:space="preserve"> RF </w:t>
      </w:r>
    </w:p>
    <w:p w14:paraId="440B57A1" w14:textId="5C77828E" w:rsidR="00E31AD1" w:rsidRPr="000E65F2" w:rsidRDefault="00A50FE3" w:rsidP="007D0681">
      <w:pPr>
        <w:pStyle w:val="StyleTitleLeft005cm"/>
        <w:spacing w:before="0" w:after="0"/>
        <w:jc w:val="center"/>
        <w:rPr>
          <w:rFonts w:ascii="Times New Roman" w:hAnsi="Times New Roman"/>
          <w:sz w:val="22"/>
          <w:lang w:val="en-US"/>
        </w:rPr>
      </w:pPr>
      <w:r>
        <w:rPr>
          <w:rFonts w:ascii="Times New Roman" w:hAnsi="Times New Roman"/>
          <w:sz w:val="22"/>
        </w:rPr>
        <w:t xml:space="preserve">AT </w:t>
      </w:r>
      <w:r w:rsidR="004938E7">
        <w:rPr>
          <w:rFonts w:ascii="Times New Roman" w:hAnsi="Times New Roman"/>
          <w:sz w:val="22"/>
        </w:rPr>
        <w:t>NICA PROTON MODE COLLIDER</w:t>
      </w:r>
    </w:p>
    <w:p w14:paraId="1AF83DDE" w14:textId="77777777" w:rsidR="007D0681" w:rsidRPr="007D0681" w:rsidRDefault="007D0681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1EF164D0" w14:textId="143BF6C6" w:rsidR="007D0681" w:rsidRDefault="00EE3D1D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en-US"/>
        </w:rPr>
      </w:pPr>
      <w:r w:rsidRPr="00EE3D1D">
        <w:rPr>
          <w:rFonts w:ascii="Times New Roman" w:hAnsi="Times New Roman" w:cs="Times New Roman"/>
          <w:sz w:val="18"/>
          <w:lang w:val="en-US"/>
        </w:rPr>
        <w:t>The</w:t>
      </w:r>
      <w:r>
        <w:rPr>
          <w:rFonts w:ascii="Times New Roman" w:hAnsi="Times New Roman" w:cs="Times New Roman"/>
          <w:sz w:val="18"/>
          <w:lang w:val="en-US"/>
        </w:rPr>
        <w:t xml:space="preserve"> transition energy jump with betatron frequency shift is considered</w:t>
      </w:r>
      <w:r w:rsidRPr="00EE3D1D">
        <w:rPr>
          <w:rFonts w:ascii="Times New Roman" w:hAnsi="Times New Roman" w:cs="Times New Roman"/>
          <w:sz w:val="18"/>
          <w:lang w:val="en-US"/>
        </w:rPr>
        <w:t xml:space="preserve"> </w:t>
      </w:r>
      <w:r w:rsidRPr="00EE3D1D">
        <w:rPr>
          <w:rFonts w:ascii="Times New Roman" w:hAnsi="Times New Roman" w:cs="Times New Roman"/>
          <w:sz w:val="18"/>
          <w:lang w:val="en-US"/>
        </w:rPr>
        <w:t xml:space="preserve">to preserve the stability of the beam. The NICA collider has </w:t>
      </w:r>
      <w:r>
        <w:rPr>
          <w:rFonts w:ascii="Times New Roman" w:hAnsi="Times New Roman" w:cs="Times New Roman"/>
          <w:sz w:val="18"/>
          <w:lang w:val="en-US"/>
        </w:rPr>
        <w:t>different</w:t>
      </w:r>
      <w:r w:rsidRPr="00EE3D1D">
        <w:rPr>
          <w:rFonts w:ascii="Times New Roman" w:hAnsi="Times New Roman" w:cs="Times New Roman"/>
          <w:sz w:val="18"/>
          <w:lang w:val="en-US"/>
        </w:rPr>
        <w:t xml:space="preserve"> accelerating RF</w:t>
      </w:r>
      <w:r w:rsidRPr="00EE3D1D">
        <w:rPr>
          <w:rFonts w:ascii="Times New Roman" w:hAnsi="Times New Roman" w:cs="Times New Roman"/>
          <w:sz w:val="18"/>
          <w:lang w:val="en-US"/>
        </w:rPr>
        <w:t xml:space="preserve"> </w:t>
      </w:r>
      <w:r w:rsidRPr="00EE3D1D">
        <w:rPr>
          <w:rFonts w:ascii="Times New Roman" w:hAnsi="Times New Roman" w:cs="Times New Roman"/>
          <w:sz w:val="18"/>
          <w:lang w:val="en-US"/>
        </w:rPr>
        <w:t>stations in its principle of operation</w:t>
      </w:r>
      <w:r>
        <w:rPr>
          <w:rFonts w:ascii="Times New Roman" w:hAnsi="Times New Roman" w:cs="Times New Roman"/>
          <w:sz w:val="18"/>
          <w:lang w:val="en-US"/>
        </w:rPr>
        <w:t>: barrier</w:t>
      </w:r>
      <w:r w:rsidR="00F12F16">
        <w:rPr>
          <w:rFonts w:ascii="Times New Roman" w:hAnsi="Times New Roman" w:cs="Times New Roman"/>
          <w:sz w:val="18"/>
          <w:lang w:val="en-US"/>
        </w:rPr>
        <w:t xml:space="preserve"> and harmonic</w:t>
      </w:r>
      <w:r w:rsidRPr="00EE3D1D">
        <w:rPr>
          <w:rFonts w:ascii="Times New Roman" w:hAnsi="Times New Roman" w:cs="Times New Roman"/>
          <w:sz w:val="18"/>
          <w:lang w:val="en-US"/>
        </w:rPr>
        <w:t>. Due to their peculiarities, the dynamics of longitudinal motion also differs, which affects the</w:t>
      </w:r>
      <w:r w:rsidR="00F12F16" w:rsidRPr="00F12F16">
        <w:rPr>
          <w:rFonts w:ascii="Times New Roman" w:hAnsi="Times New Roman" w:cs="Times New Roman"/>
          <w:sz w:val="18"/>
          <w:lang w:val="en-US"/>
        </w:rPr>
        <w:t xml:space="preserve"> </w:t>
      </w:r>
      <w:r w:rsidR="00F12F16">
        <w:rPr>
          <w:rFonts w:ascii="Times New Roman" w:hAnsi="Times New Roman" w:cs="Times New Roman"/>
          <w:sz w:val="18"/>
          <w:lang w:val="en-US"/>
        </w:rPr>
        <w:t>transition energy</w:t>
      </w:r>
      <w:r w:rsidR="00F12F16" w:rsidRPr="00F12F16">
        <w:rPr>
          <w:rFonts w:ascii="Times New Roman" w:hAnsi="Times New Roman" w:cs="Times New Roman"/>
          <w:sz w:val="18"/>
          <w:lang w:val="en-US"/>
        </w:rPr>
        <w:t xml:space="preserve"> </w:t>
      </w:r>
      <w:r w:rsidR="00F12F16">
        <w:rPr>
          <w:rFonts w:ascii="Times New Roman" w:hAnsi="Times New Roman" w:cs="Times New Roman"/>
          <w:sz w:val="18"/>
          <w:lang w:val="en-US"/>
        </w:rPr>
        <w:t>crossing</w:t>
      </w:r>
      <w:r w:rsidRPr="00EE3D1D">
        <w:rPr>
          <w:rFonts w:ascii="Times New Roman" w:hAnsi="Times New Roman" w:cs="Times New Roman"/>
          <w:sz w:val="18"/>
          <w:lang w:val="en-US"/>
        </w:rPr>
        <w:t>.</w:t>
      </w:r>
    </w:p>
    <w:p w14:paraId="712734AD" w14:textId="77777777" w:rsidR="00EE3D1D" w:rsidRPr="00EE3D1D" w:rsidRDefault="00EE3D1D" w:rsidP="007D0681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</w:p>
    <w:p w14:paraId="50DD747F" w14:textId="5614A0D3" w:rsidR="000E65F2" w:rsidRPr="008B6ECE" w:rsidRDefault="002E52DB" w:rsidP="00F279C4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F279C4">
        <w:rPr>
          <w:rFonts w:ascii="Times New Roman" w:hAnsi="Times New Roman" w:cs="Times New Roman"/>
          <w:sz w:val="20"/>
          <w:szCs w:val="20"/>
        </w:rPr>
        <w:t xml:space="preserve">Критическая энергия коллайдера </w:t>
      </w:r>
      <w:r w:rsidRPr="00F279C4">
        <w:rPr>
          <w:rFonts w:ascii="Times New Roman" w:hAnsi="Times New Roman" w:cs="Times New Roman"/>
          <w:sz w:val="20"/>
          <w:szCs w:val="20"/>
          <w:lang w:val="en-US"/>
        </w:rPr>
        <w:t>NICA</w:t>
      </w:r>
      <w:r w:rsidRPr="00F279C4">
        <w:rPr>
          <w:rFonts w:ascii="Times New Roman" w:hAnsi="Times New Roman" w:cs="Times New Roman"/>
          <w:sz w:val="20"/>
          <w:szCs w:val="20"/>
        </w:rPr>
        <w:t xml:space="preserve"> составляет порядка 5,7 ГэВ и должна быть исследована для протонов на энергии эксперимента 13 ГэВ, так как накладывает ограничения на конечную светимость. Один из рассматриваемых способов сохранить стабильность пучка – быстрый скачок через критическую энергию</w:t>
      </w:r>
      <w:r w:rsidR="00F279C4">
        <w:rPr>
          <w:rFonts w:ascii="Times New Roman" w:hAnsi="Times New Roman" w:cs="Times New Roman"/>
          <w:sz w:val="20"/>
          <w:szCs w:val="20"/>
        </w:rPr>
        <w:t>.</w:t>
      </w:r>
      <w:r w:rsidR="00F279C4" w:rsidRPr="00F279C4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8B6ECE" w:rsidRPr="008B6EC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[</w:t>
      </w:r>
      <w:r w:rsidR="008B6ECE" w:rsidRPr="009C44EA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1</w:t>
      </w:r>
      <w:r w:rsidR="008B6ECE" w:rsidRPr="008B6ECE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]</w:t>
      </w:r>
    </w:p>
    <w:p w14:paraId="02E6BB4F" w14:textId="77777777" w:rsidR="000260C1" w:rsidRDefault="00F279C4" w:rsidP="00F279C4">
      <w:pPr>
        <w:pStyle w:val="BodyText"/>
        <w:rPr>
          <w:rFonts w:eastAsiaTheme="minorEastAsia"/>
          <w:iCs/>
          <w:noProof/>
        </w:rPr>
      </w:pPr>
      <w:r w:rsidRPr="00F279C4">
        <w:rPr>
          <w:sz w:val="20"/>
          <w:szCs w:val="20"/>
        </w:rPr>
        <w:t xml:space="preserve">Предполагаемый скачок для </w:t>
      </w:r>
      <w:r w:rsidRPr="00F279C4">
        <w:rPr>
          <w:sz w:val="20"/>
          <w:szCs w:val="20"/>
          <w:lang w:val="en-US"/>
        </w:rPr>
        <w:t>NICA</w:t>
      </w:r>
      <w:r w:rsidRPr="00F279C4">
        <w:rPr>
          <w:sz w:val="20"/>
          <w:szCs w:val="20"/>
        </w:rPr>
        <w:t>, который предполагает модуляцию дисперсии, осуществля</w:t>
      </w:r>
      <w:r>
        <w:rPr>
          <w:sz w:val="20"/>
          <w:szCs w:val="20"/>
        </w:rPr>
        <w:t xml:space="preserve">емую </w:t>
      </w:r>
      <w:r w:rsidRPr="00F279C4">
        <w:rPr>
          <w:sz w:val="20"/>
          <w:szCs w:val="20"/>
        </w:rPr>
        <w:t>всеми фокусирующими квадруполями поворотной арки, что приводит, во-первых, к ограничению темпа изменения критической энергии, во-вторых, сдвигу бетатронных частот и тем самым к ограничению величины скачка.</w:t>
      </w:r>
    </w:p>
    <w:p w14:paraId="3950EAAB" w14:textId="4C3D9DC4" w:rsidR="002E52DB" w:rsidRPr="000260C1" w:rsidRDefault="00AC6999" w:rsidP="00AC6999">
      <w:pPr>
        <w:pStyle w:val="BodyText"/>
        <w:jc w:val="left"/>
        <w:rPr>
          <w:sz w:val="20"/>
          <w:szCs w:val="20"/>
        </w:rPr>
      </w:pPr>
      <w:r>
        <w:rPr>
          <w:rFonts w:eastAsiaTheme="minorEastAsia"/>
          <w:iCs/>
          <w:noProof/>
        </w:rPr>
        <w:tab/>
      </w:r>
      <w:r>
        <w:rPr>
          <w:rFonts w:eastAsiaTheme="minorEastAsia"/>
          <w:iCs/>
          <w:noProof/>
        </w:rPr>
        <w:tab/>
      </w:r>
      <w:r w:rsidR="000260C1">
        <w:rPr>
          <w:rFonts w:eastAsiaTheme="minorEastAsia"/>
          <w:iCs/>
          <w:noProof/>
        </w:rPr>
        <w:t>а</w:t>
      </w:r>
      <w:r w:rsidR="000260C1" w:rsidRPr="000260C1">
        <w:rPr>
          <w:rFonts w:eastAsiaTheme="minorEastAsia"/>
          <w:iCs/>
          <w:noProof/>
        </w:rPr>
        <w:t xml:space="preserve">) </w:t>
      </w:r>
      <w:r w:rsidR="000260C1">
        <w:rPr>
          <w:rFonts w:eastAsiaTheme="minorEastAsia"/>
          <w:iCs/>
          <w:noProof/>
        </w:rPr>
        <w:drawing>
          <wp:inline distT="0" distB="0" distL="0" distR="0" wp14:anchorId="359F9844" wp14:editId="3AEAC8BF">
            <wp:extent cx="2160000" cy="1679614"/>
            <wp:effectExtent l="0" t="0" r="0" b="0"/>
            <wp:docPr id="13547421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2114" name="Рисунок 13547421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7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0C1">
        <w:rPr>
          <w:rFonts w:eastAsiaTheme="minorEastAsia"/>
          <w:iCs/>
          <w:noProof/>
        </w:rPr>
        <w:t>б)</w:t>
      </w:r>
      <w:r w:rsidR="000260C1" w:rsidRPr="000260C1">
        <w:rPr>
          <w:iCs/>
          <w:noProof/>
        </w:rPr>
        <w:t xml:space="preserve"> </w:t>
      </w:r>
      <w:r w:rsidR="000260C1">
        <w:rPr>
          <w:iCs/>
          <w:noProof/>
        </w:rPr>
        <w:drawing>
          <wp:inline distT="0" distB="0" distL="0" distR="0" wp14:anchorId="77E747CE" wp14:editId="72DA4736">
            <wp:extent cx="1793638" cy="1656000"/>
            <wp:effectExtent l="0" t="0" r="0" b="0"/>
            <wp:docPr id="1427932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3249" name="Рисунок 1427932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638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1748" w14:textId="1E4C4326" w:rsidR="000E65F2" w:rsidRDefault="000E65F2" w:rsidP="007D0681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852186">
        <w:rPr>
          <w:rFonts w:ascii="Times New Roman" w:hAnsi="Times New Roman" w:cs="Times New Roman"/>
          <w:i/>
          <w:iCs/>
          <w:sz w:val="18"/>
          <w:szCs w:val="18"/>
        </w:rPr>
        <w:t xml:space="preserve">Рис. 1. </w:t>
      </w:r>
      <w:r w:rsidR="00505079" w:rsidRPr="00852186">
        <w:rPr>
          <w:rFonts w:ascii="Times New Roman" w:hAnsi="Times New Roman" w:cs="Times New Roman"/>
          <w:i/>
          <w:iCs/>
          <w:sz w:val="18"/>
          <w:szCs w:val="18"/>
        </w:rPr>
        <w:t>а) Принципиальная схема скачка критической энергии</w:t>
      </w:r>
      <w:r w:rsidR="000260C1" w:rsidRPr="000260C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0260C1">
        <w:rPr>
          <w:rFonts w:ascii="Times New Roman" w:hAnsi="Times New Roman" w:cs="Times New Roman"/>
          <w:i/>
          <w:iCs/>
          <w:sz w:val="18"/>
          <w:szCs w:val="18"/>
        </w:rPr>
        <w:t>в гармоническом ВЧ</w:t>
      </w:r>
      <w:r w:rsidR="00505079" w:rsidRPr="00852186">
        <w:rPr>
          <w:rFonts w:ascii="Times New Roman" w:hAnsi="Times New Roman" w:cs="Times New Roman"/>
          <w:i/>
          <w:iCs/>
          <w:sz w:val="18"/>
          <w:szCs w:val="18"/>
        </w:rPr>
        <w:t xml:space="preserve">; </w:t>
      </w:r>
      <w:r w:rsidR="000260C1">
        <w:rPr>
          <w:rFonts w:ascii="Times New Roman" w:hAnsi="Times New Roman" w:cs="Times New Roman"/>
          <w:i/>
          <w:iCs/>
          <w:sz w:val="18"/>
          <w:szCs w:val="18"/>
        </w:rPr>
        <w:br/>
      </w:r>
      <w:r w:rsidR="00505079" w:rsidRPr="00852186">
        <w:rPr>
          <w:rFonts w:ascii="Times New Roman" w:hAnsi="Times New Roman" w:cs="Times New Roman"/>
          <w:i/>
          <w:iCs/>
          <w:sz w:val="18"/>
          <w:szCs w:val="18"/>
        </w:rPr>
        <w:t>б)</w:t>
      </w:r>
      <w:r w:rsidR="000260C1" w:rsidRPr="000260C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0260C1" w:rsidRPr="00852186">
        <w:rPr>
          <w:rFonts w:ascii="Times New Roman" w:hAnsi="Times New Roman" w:cs="Times New Roman"/>
          <w:i/>
          <w:iCs/>
          <w:sz w:val="18"/>
          <w:szCs w:val="18"/>
        </w:rPr>
        <w:t>Принципиальная схема скачка критической энергии</w:t>
      </w:r>
      <w:r w:rsidR="000260C1" w:rsidRPr="000260C1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0260C1">
        <w:rPr>
          <w:rFonts w:ascii="Times New Roman" w:hAnsi="Times New Roman" w:cs="Times New Roman"/>
          <w:i/>
          <w:iCs/>
          <w:sz w:val="18"/>
          <w:szCs w:val="18"/>
        </w:rPr>
        <w:t>в барьерном ВЧ</w:t>
      </w:r>
      <w:r w:rsidR="00852186" w:rsidRPr="00852186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14:paraId="0A8F85E7" w14:textId="502BC662" w:rsidR="00852186" w:rsidRPr="00852186" w:rsidRDefault="00852186" w:rsidP="007D0681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18"/>
          <w:szCs w:val="18"/>
          <w:shd w:val="clear" w:color="auto" w:fill="FFFFFF"/>
        </w:rPr>
      </w:pPr>
    </w:p>
    <w:p w14:paraId="45F125A2" w14:textId="46E10574" w:rsidR="00505079" w:rsidRPr="00505079" w:rsidRDefault="00F279C4" w:rsidP="00770725">
      <w:pPr>
        <w:pStyle w:val="BodyText"/>
        <w:rPr>
          <w:bCs/>
          <w:sz w:val="20"/>
          <w:szCs w:val="20"/>
          <w:shd w:val="clear" w:color="auto" w:fill="FFFFFF"/>
        </w:rPr>
      </w:pPr>
      <w:r w:rsidRPr="00F279C4">
        <w:rPr>
          <w:bCs/>
          <w:sz w:val="20"/>
          <w:szCs w:val="20"/>
          <w:shd w:val="clear" w:color="auto" w:fill="FFFFFF"/>
        </w:rPr>
        <w:t>Коллайдер оснащён 3-мя ускоряющими ВЧ-станциями: ВЧ-1 – барьерная, ВЧ-2 и ВЧ-3 – гармонические.</w:t>
      </w:r>
      <w:r w:rsidR="008B6ECE" w:rsidRPr="008B6ECE">
        <w:rPr>
          <w:bCs/>
          <w:sz w:val="20"/>
          <w:szCs w:val="20"/>
          <w:shd w:val="clear" w:color="auto" w:fill="FFFFFF"/>
        </w:rPr>
        <w:t xml:space="preserve"> [2]</w:t>
      </w:r>
      <w:r w:rsidRPr="00F279C4">
        <w:rPr>
          <w:bCs/>
          <w:sz w:val="20"/>
          <w:szCs w:val="20"/>
          <w:shd w:val="clear" w:color="auto" w:fill="FFFFFF"/>
        </w:rPr>
        <w:t xml:space="preserve"> В данной</w:t>
      </w:r>
      <w:r>
        <w:rPr>
          <w:bCs/>
          <w:sz w:val="20"/>
          <w:szCs w:val="20"/>
          <w:shd w:val="clear" w:color="auto" w:fill="FFFFFF"/>
        </w:rPr>
        <w:t xml:space="preserve">. </w:t>
      </w:r>
      <w:r w:rsidR="00AB062E">
        <w:rPr>
          <w:bCs/>
          <w:sz w:val="20"/>
          <w:szCs w:val="20"/>
          <w:shd w:val="clear" w:color="auto" w:fill="FFFFFF"/>
        </w:rPr>
        <w:t>Способы ускорения</w:t>
      </w:r>
      <w:r w:rsidR="00AB062E">
        <w:rPr>
          <w:sz w:val="20"/>
          <w:szCs w:val="20"/>
        </w:rPr>
        <w:t xml:space="preserve"> в таких ВЧ отличны</w:t>
      </w:r>
      <w:r w:rsidR="00AB062E" w:rsidRPr="00AB062E">
        <w:rPr>
          <w:sz w:val="20"/>
          <w:szCs w:val="20"/>
        </w:rPr>
        <w:t>:</w:t>
      </w:r>
      <w:r w:rsidR="00AB062E" w:rsidRPr="00F279C4">
        <w:rPr>
          <w:sz w:val="20"/>
          <w:szCs w:val="20"/>
        </w:rPr>
        <w:t xml:space="preserve"> темп ускорения</w:t>
      </w:r>
      <w:r w:rsidR="00AB062E">
        <w:rPr>
          <w:sz w:val="20"/>
          <w:szCs w:val="20"/>
        </w:rPr>
        <w:t xml:space="preserve"> в барьерном ВЧ </w:t>
      </w:r>
      <w:r w:rsidR="00AB062E" w:rsidRPr="00F279C4">
        <w:rPr>
          <w:sz w:val="20"/>
          <w:szCs w:val="20"/>
        </w:rPr>
        <w:t xml:space="preserve">крайне мал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=0.2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-1</m:t>
            </m:r>
          </m:sup>
        </m:sSup>
      </m:oMath>
      <w:r w:rsidR="008B6ECE" w:rsidRPr="008B6ECE">
        <w:rPr>
          <w:sz w:val="20"/>
          <w:szCs w:val="20"/>
        </w:rPr>
        <w:t xml:space="preserve"> [3]</w:t>
      </w:r>
      <w:r w:rsidR="00AB062E" w:rsidRPr="00F279C4">
        <w:rPr>
          <w:sz w:val="20"/>
          <w:szCs w:val="20"/>
        </w:rPr>
        <w:t xml:space="preserve">, по сравнению </w:t>
      </w:r>
      <w:r w:rsidR="00AB062E" w:rsidRPr="00F279C4">
        <w:rPr>
          <w:sz w:val="20"/>
          <w:szCs w:val="20"/>
          <w:lang w:val="en-US"/>
        </w:rPr>
        <w:t>c</w:t>
      </w:r>
      <w:r w:rsidR="00AB062E" w:rsidRPr="00F279C4">
        <w:rPr>
          <w:sz w:val="20"/>
          <w:szCs w:val="20"/>
        </w:rPr>
        <w:t xml:space="preserve"> гармоническим ВЧ, порядка </w:t>
      </w:r>
      <m:oMath>
        <m:f>
          <m:fPr>
            <m:type m:val="lin"/>
            <m:ctrlPr>
              <w:rPr>
                <w:rFonts w:ascii="Cambria Math" w:hAnsi="Cambria Math"/>
                <w:i/>
                <w:noProof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noProof/>
                <w:sz w:val="20"/>
                <w:szCs w:val="20"/>
                <w:lang w:val="en-US"/>
              </w:rPr>
              <m:t>dγ</m:t>
            </m:r>
          </m:num>
          <m:den>
            <m:r>
              <w:rPr>
                <w:rFonts w:ascii="Cambria Math" w:hAnsi="Cambria Math"/>
                <w:noProof/>
                <w:sz w:val="20"/>
                <w:szCs w:val="20"/>
              </w:rPr>
              <m:t>dt</m:t>
            </m:r>
          </m:den>
        </m:f>
        <m:r>
          <w:rPr>
            <w:rFonts w:ascii="Cambria Math" w:eastAsiaTheme="minorEastAsia" w:hAnsi="Cambria Math"/>
            <w:noProof/>
            <w:sz w:val="20"/>
            <w:szCs w:val="20"/>
          </w:rPr>
          <m:t xml:space="preserve">=30-300 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sz w:val="20"/>
                <w:szCs w:val="20"/>
                <w:lang w:val="en-US"/>
              </w:rPr>
              <m:t>c</m:t>
            </m:r>
          </m:e>
          <m:sup>
            <m:r>
              <w:rPr>
                <w:rFonts w:ascii="Cambria Math" w:eastAsiaTheme="minorEastAsia" w:hAnsi="Cambria Math"/>
                <w:noProof/>
                <w:sz w:val="20"/>
                <w:szCs w:val="20"/>
              </w:rPr>
              <m:t>-1</m:t>
            </m:r>
          </m:sup>
        </m:sSup>
      </m:oMath>
      <w:r w:rsidR="00AB062E" w:rsidRPr="00F279C4">
        <w:rPr>
          <w:sz w:val="20"/>
          <w:szCs w:val="20"/>
        </w:rPr>
        <w:t xml:space="preserve">. При этом ускорение происходит индукционно для всех частиц, а не сдвигом равновесной фазы. </w:t>
      </w:r>
      <w:r w:rsidR="00AB062E">
        <w:rPr>
          <w:sz w:val="20"/>
          <w:szCs w:val="20"/>
        </w:rPr>
        <w:t>У</w:t>
      </w:r>
      <w:r w:rsidR="00AB062E" w:rsidRPr="00F279C4">
        <w:rPr>
          <w:sz w:val="20"/>
          <w:szCs w:val="20"/>
        </w:rPr>
        <w:t>держание пучка в фазовой плоскости – отражением от барьеров.</w:t>
      </w:r>
      <w:r w:rsidR="00AB062E">
        <w:rPr>
          <w:sz w:val="20"/>
          <w:szCs w:val="20"/>
        </w:rPr>
        <w:t xml:space="preserve"> </w:t>
      </w:r>
      <w:r w:rsidR="00AB062E" w:rsidRPr="00F279C4">
        <w:rPr>
          <w:sz w:val="20"/>
          <w:szCs w:val="20"/>
        </w:rPr>
        <w:t>Приведённые особенности</w:t>
      </w:r>
      <w:r w:rsidR="00AB062E">
        <w:rPr>
          <w:sz w:val="20"/>
          <w:szCs w:val="20"/>
        </w:rPr>
        <w:t xml:space="preserve"> существенно отличают динамику движения частиц в продольной фазовой плоскости</w:t>
      </w:r>
      <w:r w:rsidR="000260C1">
        <w:rPr>
          <w:sz w:val="20"/>
          <w:szCs w:val="20"/>
        </w:rPr>
        <w:t>.</w:t>
      </w:r>
      <w:r w:rsidR="008B6ECE">
        <w:rPr>
          <w:sz w:val="20"/>
          <w:szCs w:val="20"/>
        </w:rPr>
        <w:t xml:space="preserve"> В обоих случаях необходимо рассматривать условия сохранения стабильности с точки зрения продольной микроволновой неустойчивости.</w:t>
      </w:r>
    </w:p>
    <w:p w14:paraId="5BB55CE8" w14:textId="2322329F" w:rsidR="000E65F2" w:rsidRPr="00243EDE" w:rsidRDefault="000E65F2" w:rsidP="007D0681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</w:pP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Список литературы</w:t>
      </w:r>
    </w:p>
    <w:p w14:paraId="57BA0852" w14:textId="36E6E1AC" w:rsidR="000E65F2" w:rsidRPr="00505079" w:rsidRDefault="00505079" w:rsidP="00505079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05079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J. Wei, S.-Y. Lee, Space Charge Effect at Transition Energy and the Transfer of R.F. System at Top Energy, BNL—41667</w:t>
      </w:r>
    </w:p>
    <w:p w14:paraId="751DC5AD" w14:textId="4A1AF945" w:rsidR="008B6ECE" w:rsidRPr="008B6ECE" w:rsidRDefault="008B6ECE" w:rsidP="008B6ECE">
      <w:pPr>
        <w:pStyle w:val="References"/>
        <w:numPr>
          <w:ilvl w:val="0"/>
          <w:numId w:val="2"/>
        </w:numPr>
        <w:rPr>
          <w:lang w:val="ru-RU"/>
        </w:rPr>
      </w:pPr>
      <w:r w:rsidRPr="00243AA0">
        <w:rPr>
          <w:rFonts w:cstheme="minorHAnsi"/>
          <w:lang w:val="ru-RU"/>
        </w:rPr>
        <w:t xml:space="preserve">Е. М. Сыресин и др. Формирование поляризованных протонных пучков в ускорительных комплексе </w:t>
      </w:r>
      <w:r w:rsidRPr="00243AA0">
        <w:rPr>
          <w:rFonts w:cstheme="minorHAnsi"/>
        </w:rPr>
        <w:t>NICA</w:t>
      </w:r>
      <w:r w:rsidRPr="00243AA0">
        <w:rPr>
          <w:rFonts w:cstheme="minorHAnsi"/>
          <w:lang w:val="ru-RU"/>
        </w:rPr>
        <w:t>, 2021</w:t>
      </w:r>
      <w:r w:rsidRPr="00763A04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ЭЧАЯ Т. 52</w:t>
      </w:r>
      <w:r w:rsidRPr="00763A04">
        <w:rPr>
          <w:rFonts w:cstheme="minorHAnsi"/>
          <w:lang w:val="ru-RU"/>
        </w:rPr>
        <w:t xml:space="preserve">, </w:t>
      </w:r>
      <w:proofErr w:type="spellStart"/>
      <w:r>
        <w:rPr>
          <w:rFonts w:cstheme="minorHAnsi"/>
          <w:lang w:val="ru-RU"/>
        </w:rPr>
        <w:t>Вып</w:t>
      </w:r>
      <w:proofErr w:type="spellEnd"/>
      <w:r>
        <w:rPr>
          <w:rFonts w:cstheme="minorHAnsi"/>
          <w:lang w:val="ru-RU"/>
        </w:rPr>
        <w:t>. 5, С. 1305-1341</w:t>
      </w:r>
      <w:r w:rsidRPr="00F10A7C">
        <w:rPr>
          <w:rFonts w:cstheme="minorHAnsi"/>
          <w:lang w:val="ru-RU"/>
        </w:rPr>
        <w:t>,</w:t>
      </w:r>
      <w:r w:rsidRPr="00763A04">
        <w:rPr>
          <w:rFonts w:cstheme="minorHAnsi"/>
          <w:lang w:val="ru-RU"/>
        </w:rPr>
        <w:t xml:space="preserve"> </w:t>
      </w:r>
      <w:r>
        <w:rPr>
          <w:rFonts w:eastAsia="SimSun"/>
        </w:rPr>
        <w:t>https</w:t>
      </w:r>
      <w:r w:rsidRPr="00763A04">
        <w:rPr>
          <w:rFonts w:eastAsia="SimSun"/>
          <w:lang w:val="ru-RU"/>
        </w:rPr>
        <w:t>://</w:t>
      </w:r>
      <w:proofErr w:type="spellStart"/>
      <w:r>
        <w:rPr>
          <w:rFonts w:eastAsia="SimSun"/>
        </w:rPr>
        <w:t>doi</w:t>
      </w:r>
      <w:proofErr w:type="spellEnd"/>
      <w:r w:rsidRPr="00763A04">
        <w:rPr>
          <w:rFonts w:eastAsia="SimSun"/>
          <w:lang w:val="ru-RU"/>
        </w:rPr>
        <w:t>.</w:t>
      </w:r>
      <w:r>
        <w:rPr>
          <w:rFonts w:eastAsia="SimSun"/>
        </w:rPr>
        <w:t>org</w:t>
      </w:r>
      <w:r w:rsidRPr="00763A04">
        <w:rPr>
          <w:rFonts w:eastAsia="SimSun"/>
          <w:lang w:val="ru-RU"/>
        </w:rPr>
        <w:t>/10.1134/</w:t>
      </w:r>
      <w:r>
        <w:rPr>
          <w:rFonts w:eastAsia="SimSun"/>
        </w:rPr>
        <w:t>S</w:t>
      </w:r>
      <w:r w:rsidRPr="00763A04">
        <w:rPr>
          <w:rFonts w:eastAsia="SimSun"/>
          <w:lang w:val="ru-RU"/>
        </w:rPr>
        <w:t>1063779621050051</w:t>
      </w:r>
    </w:p>
    <w:p w14:paraId="0CF15512" w14:textId="4DECBBDC" w:rsidR="00795043" w:rsidRPr="008B6ECE" w:rsidRDefault="008B6ECE" w:rsidP="008B6ECE">
      <w:pPr>
        <w:pStyle w:val="References"/>
        <w:numPr>
          <w:ilvl w:val="0"/>
          <w:numId w:val="2"/>
        </w:numPr>
      </w:pPr>
      <w:r w:rsidRPr="002238F2">
        <w:rPr>
          <w:rFonts w:cstheme="minorHAnsi"/>
        </w:rPr>
        <w:t>Kolokolchikov, S. and Senichev, Y. and Melnikov, A. and Syresin, E.",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Acceleration and crossing of transition energy investigation using an RF structure of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the barrier bucket type in the NICA accelerator complex</w:t>
      </w:r>
      <w:r>
        <w:rPr>
          <w:rFonts w:cstheme="minorHAnsi"/>
        </w:rPr>
        <w:t xml:space="preserve">, </w:t>
      </w:r>
      <w:r w:rsidRPr="002238F2">
        <w:rPr>
          <w:rFonts w:cstheme="minorHAnsi"/>
        </w:rPr>
        <w:t>10.1088/1742-6596/2420/1/012001,</w:t>
      </w:r>
      <w:r>
        <w:rPr>
          <w:rFonts w:cstheme="minorHAnsi"/>
        </w:rPr>
        <w:t xml:space="preserve"> </w:t>
      </w:r>
      <w:proofErr w:type="spellStart"/>
      <w:r w:rsidRPr="002238F2">
        <w:rPr>
          <w:rFonts w:cstheme="minorHAnsi"/>
        </w:rPr>
        <w:t>JACoW</w:t>
      </w:r>
      <w:proofErr w:type="spellEnd"/>
      <w:r w:rsidRPr="002238F2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IPAC2022,</w:t>
      </w:r>
      <w:r>
        <w:rPr>
          <w:rFonts w:cstheme="minorHAnsi"/>
        </w:rPr>
        <w:t xml:space="preserve"> </w:t>
      </w:r>
      <w:r w:rsidRPr="002238F2">
        <w:rPr>
          <w:rFonts w:cstheme="minorHAnsi"/>
        </w:rPr>
        <w:t>WEPOPT004</w:t>
      </w:r>
      <w:r>
        <w:rPr>
          <w:rFonts w:cstheme="minorHAnsi"/>
        </w:rPr>
        <w:t xml:space="preserve">, </w:t>
      </w:r>
      <w:r w:rsidRPr="002238F2">
        <w:rPr>
          <w:rFonts w:cstheme="minorHAnsi"/>
        </w:rPr>
        <w:t>2022</w:t>
      </w:r>
    </w:p>
    <w:sectPr w:rsidR="00795043" w:rsidRPr="008B6ECE" w:rsidSect="00E15EDD">
      <w:headerReference w:type="default" r:id="rId10"/>
      <w:pgSz w:w="11906" w:h="16838" w:code="9"/>
      <w:pgMar w:top="1304" w:right="1021" w:bottom="1418" w:left="964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26D62" w14:textId="77777777" w:rsidR="00491506" w:rsidRDefault="00491506" w:rsidP="000E65F2">
      <w:pPr>
        <w:spacing w:after="0" w:line="240" w:lineRule="auto"/>
      </w:pPr>
      <w:r>
        <w:separator/>
      </w:r>
    </w:p>
  </w:endnote>
  <w:endnote w:type="continuationSeparator" w:id="0">
    <w:p w14:paraId="0C34D002" w14:textId="77777777" w:rsidR="00491506" w:rsidRDefault="00491506" w:rsidP="000E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4600" w14:textId="77777777" w:rsidR="00491506" w:rsidRDefault="00491506" w:rsidP="000E65F2">
      <w:pPr>
        <w:spacing w:after="0" w:line="240" w:lineRule="auto"/>
      </w:pPr>
      <w:r>
        <w:separator/>
      </w:r>
    </w:p>
  </w:footnote>
  <w:footnote w:type="continuationSeparator" w:id="0">
    <w:p w14:paraId="50E9F1BF" w14:textId="77777777" w:rsidR="00491506" w:rsidRDefault="00491506" w:rsidP="000E6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711B" w14:textId="77777777" w:rsidR="000E65F2" w:rsidRDefault="000E65F2">
    <w:pPr>
      <w:pStyle w:val="a9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7FA"/>
    <w:multiLevelType w:val="hybridMultilevel"/>
    <w:tmpl w:val="DBFCE940"/>
    <w:lvl w:ilvl="0" w:tplc="7410FEA0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3721E05"/>
    <w:multiLevelType w:val="hybridMultilevel"/>
    <w:tmpl w:val="DE806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276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6546794">
    <w:abstractNumId w:val="0"/>
  </w:num>
  <w:num w:numId="3" w16cid:durableId="649334231">
    <w:abstractNumId w:val="1"/>
  </w:num>
  <w:num w:numId="4" w16cid:durableId="181934750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422"/>
    <w:rsid w:val="000260C1"/>
    <w:rsid w:val="000378EC"/>
    <w:rsid w:val="000A4049"/>
    <w:rsid w:val="000B4BA1"/>
    <w:rsid w:val="000C608A"/>
    <w:rsid w:val="000E65F2"/>
    <w:rsid w:val="000F690D"/>
    <w:rsid w:val="001163CC"/>
    <w:rsid w:val="001A0A86"/>
    <w:rsid w:val="001A36AF"/>
    <w:rsid w:val="001B0AC3"/>
    <w:rsid w:val="00236E98"/>
    <w:rsid w:val="00237CA5"/>
    <w:rsid w:val="00243EDE"/>
    <w:rsid w:val="00293B5F"/>
    <w:rsid w:val="002E52DB"/>
    <w:rsid w:val="00307625"/>
    <w:rsid w:val="003478BE"/>
    <w:rsid w:val="003F1C67"/>
    <w:rsid w:val="00412650"/>
    <w:rsid w:val="004163E8"/>
    <w:rsid w:val="00491506"/>
    <w:rsid w:val="004938E7"/>
    <w:rsid w:val="004A1F22"/>
    <w:rsid w:val="004B7DA4"/>
    <w:rsid w:val="004C623B"/>
    <w:rsid w:val="00505079"/>
    <w:rsid w:val="005356BC"/>
    <w:rsid w:val="00552851"/>
    <w:rsid w:val="005546A7"/>
    <w:rsid w:val="005657FB"/>
    <w:rsid w:val="00587FF7"/>
    <w:rsid w:val="006418B0"/>
    <w:rsid w:val="00655FE6"/>
    <w:rsid w:val="00656071"/>
    <w:rsid w:val="006659D8"/>
    <w:rsid w:val="006D0005"/>
    <w:rsid w:val="006D162C"/>
    <w:rsid w:val="006D3DEA"/>
    <w:rsid w:val="006D71AF"/>
    <w:rsid w:val="00763156"/>
    <w:rsid w:val="00770725"/>
    <w:rsid w:val="0077084E"/>
    <w:rsid w:val="00775ED8"/>
    <w:rsid w:val="007925A9"/>
    <w:rsid w:val="00795043"/>
    <w:rsid w:val="00795C2E"/>
    <w:rsid w:val="007A66CF"/>
    <w:rsid w:val="007B4585"/>
    <w:rsid w:val="007D0681"/>
    <w:rsid w:val="007D603C"/>
    <w:rsid w:val="0081683C"/>
    <w:rsid w:val="00844FDA"/>
    <w:rsid w:val="00852186"/>
    <w:rsid w:val="0086046B"/>
    <w:rsid w:val="008B6ECE"/>
    <w:rsid w:val="008F0D5F"/>
    <w:rsid w:val="008F57A6"/>
    <w:rsid w:val="00906DC2"/>
    <w:rsid w:val="0094718D"/>
    <w:rsid w:val="009C44EA"/>
    <w:rsid w:val="009C4B36"/>
    <w:rsid w:val="00A02AE8"/>
    <w:rsid w:val="00A05977"/>
    <w:rsid w:val="00A11B98"/>
    <w:rsid w:val="00A50FE3"/>
    <w:rsid w:val="00A65CD4"/>
    <w:rsid w:val="00A7411F"/>
    <w:rsid w:val="00A8049A"/>
    <w:rsid w:val="00AB062E"/>
    <w:rsid w:val="00AB1CA6"/>
    <w:rsid w:val="00AC6999"/>
    <w:rsid w:val="00AD0C1B"/>
    <w:rsid w:val="00B05CBB"/>
    <w:rsid w:val="00B64479"/>
    <w:rsid w:val="00B8355D"/>
    <w:rsid w:val="00B840AE"/>
    <w:rsid w:val="00B9598A"/>
    <w:rsid w:val="00BC47C4"/>
    <w:rsid w:val="00C210B7"/>
    <w:rsid w:val="00C5228C"/>
    <w:rsid w:val="00CF3405"/>
    <w:rsid w:val="00CF7AD2"/>
    <w:rsid w:val="00D009C0"/>
    <w:rsid w:val="00D36FE7"/>
    <w:rsid w:val="00D54D9B"/>
    <w:rsid w:val="00D856B7"/>
    <w:rsid w:val="00E00422"/>
    <w:rsid w:val="00E15EDD"/>
    <w:rsid w:val="00E31AD1"/>
    <w:rsid w:val="00E86750"/>
    <w:rsid w:val="00EB1033"/>
    <w:rsid w:val="00EE3D1D"/>
    <w:rsid w:val="00EF6F85"/>
    <w:rsid w:val="00F12F16"/>
    <w:rsid w:val="00F16033"/>
    <w:rsid w:val="00F23C14"/>
    <w:rsid w:val="00F279C4"/>
    <w:rsid w:val="00FB1210"/>
    <w:rsid w:val="00FE6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656C"/>
  <w15:docId w15:val="{CC47E302-2017-4950-B346-774C439D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6E9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54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546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228C"/>
    <w:pPr>
      <w:ind w:left="720"/>
      <w:contextualSpacing/>
    </w:pPr>
  </w:style>
  <w:style w:type="paragraph" w:customStyle="1" w:styleId="Default">
    <w:name w:val="Default"/>
    <w:rsid w:val="00844F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TitleLeft005cm">
    <w:name w:val="Style Title + Left:  0.05 cm"/>
    <w:basedOn w:val="a7"/>
    <w:rsid w:val="00E31AD1"/>
    <w:pPr>
      <w:pBdr>
        <w:bottom w:val="none" w:sz="0" w:space="0" w:color="auto"/>
      </w:pBdr>
      <w:spacing w:before="1588" w:after="567"/>
      <w:contextualSpacing w:val="0"/>
    </w:pPr>
    <w:rPr>
      <w:rFonts w:ascii="Times" w:eastAsia="Times New Roman" w:hAnsi="Times" w:cs="Times New Roman"/>
      <w:b/>
      <w:bCs/>
      <w:color w:val="auto"/>
      <w:spacing w:val="0"/>
      <w:kern w:val="0"/>
      <w:sz w:val="34"/>
      <w:szCs w:val="20"/>
      <w:lang w:val="en-GB"/>
    </w:rPr>
  </w:style>
  <w:style w:type="paragraph" w:customStyle="1" w:styleId="Abstract">
    <w:name w:val="Abstract"/>
    <w:rsid w:val="00E31AD1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styleId="a7">
    <w:name w:val="Title"/>
    <w:basedOn w:val="a"/>
    <w:next w:val="a"/>
    <w:link w:val="a8"/>
    <w:uiPriority w:val="10"/>
    <w:qFormat/>
    <w:rsid w:val="00E31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E31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header"/>
    <w:basedOn w:val="a"/>
    <w:link w:val="aa"/>
    <w:uiPriority w:val="99"/>
    <w:unhideWhenUsed/>
    <w:rsid w:val="000E6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5F2"/>
  </w:style>
  <w:style w:type="paragraph" w:styleId="ab">
    <w:name w:val="footer"/>
    <w:basedOn w:val="a"/>
    <w:link w:val="ac"/>
    <w:uiPriority w:val="99"/>
    <w:unhideWhenUsed/>
    <w:rsid w:val="000E65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5F2"/>
  </w:style>
  <w:style w:type="paragraph" w:customStyle="1" w:styleId="BodyText">
    <w:name w:val="!! Body Text"/>
    <w:basedOn w:val="a"/>
    <w:qFormat/>
    <w:rsid w:val="000B4BA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Cs w:val="24"/>
      <w:lang w:eastAsia="ru-RU"/>
    </w:rPr>
  </w:style>
  <w:style w:type="paragraph" w:customStyle="1" w:styleId="References">
    <w:name w:val="!! References"/>
    <w:basedOn w:val="a"/>
    <w:qFormat/>
    <w:rsid w:val="008B6ECE"/>
    <w:pPr>
      <w:numPr>
        <w:numId w:val="3"/>
      </w:numPr>
      <w:suppressAutoHyphens/>
      <w:autoSpaceDE w:val="0"/>
      <w:spacing w:after="0" w:line="240" w:lineRule="auto"/>
      <w:contextualSpacing/>
      <w:jc w:val="both"/>
    </w:pPr>
    <w:rPr>
      <w:rFonts w:ascii="Times New Roman" w:eastAsia="Times New Roman" w:hAnsi="Times New Roman" w:cs="Calibri"/>
      <w:sz w:val="20"/>
      <w:szCs w:val="20"/>
      <w:lang w:val="en-US" w:eastAsia="zh-CN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A5B3B85-4E7F-443F-8FD6-E81BA146A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Las2</dc:creator>
  <cp:lastModifiedBy>Microsoft Office User</cp:lastModifiedBy>
  <cp:revision>26</cp:revision>
  <dcterms:created xsi:type="dcterms:W3CDTF">2017-12-23T12:57:00Z</dcterms:created>
  <dcterms:modified xsi:type="dcterms:W3CDTF">2024-02-26T11:25:00Z</dcterms:modified>
</cp:coreProperties>
</file>