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82527"/>
          <w:sz w:val="27"/>
          <w:szCs w:val="27"/>
          <w:rtl w:val="0"/>
          <w14:textFill>
            <w14:solidFill>
              <w14:srgbClr w14:val="992528"/>
            </w14:solidFill>
          </w14:textFill>
        </w:rPr>
      </w:pPr>
      <w:r>
        <w:rPr>
          <w:rFonts w:ascii="Helvetica" w:hAnsi="Helvetica"/>
          <w:outline w:val="0"/>
          <w:color w:val="982527"/>
          <w:sz w:val="27"/>
          <w:szCs w:val="27"/>
          <w:rtl w:val="0"/>
          <w:lang w:val="it-IT"/>
          <w14:textFill>
            <w14:solidFill>
              <w14:srgbClr w14:val="992528"/>
            </w14:solidFill>
          </w14:textFill>
        </w:rPr>
        <w:t xml:space="preserve">Scenario 5 </w:t>
      </w:r>
      <w:r>
        <w:rPr>
          <w:rFonts w:ascii="Helvetica" w:hAnsi="Helvetica" w:hint="default"/>
          <w:outline w:val="0"/>
          <w:color w:val="982527"/>
          <w:sz w:val="27"/>
          <w:szCs w:val="27"/>
          <w:rtl w:val="0"/>
          <w14:textFill>
            <w14:solidFill>
              <w14:srgbClr w14:val="992528"/>
            </w14:solidFill>
          </w14:textFill>
        </w:rPr>
        <w:t xml:space="preserve">– </w:t>
      </w:r>
      <w:r>
        <w:rPr>
          <w:rFonts w:ascii="Helvetica" w:hAnsi="Helvetica"/>
          <w:outline w:val="0"/>
          <w:color w:val="982527"/>
          <w:sz w:val="27"/>
          <w:szCs w:val="27"/>
          <w:rtl w:val="0"/>
          <w:lang w:val="en-US"/>
          <w14:textFill>
            <w14:solidFill>
              <w14:srgbClr w14:val="992528"/>
            </w14:solidFill>
          </w14:textFill>
        </w:rPr>
        <w:t>Final diagnosis differs from provisional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982527"/>
          <w:sz w:val="27"/>
          <w:szCs w:val="27"/>
          <w:rtl w:val="0"/>
          <w14:textFill>
            <w14:solidFill>
              <w14:srgbClr w14:val="992528"/>
            </w14:solidFill>
          </w14:textFill>
        </w:rPr>
      </w:pPr>
      <w:r>
        <w:rPr>
          <w:rFonts w:ascii="Helvetica" w:hAnsi="Helvetica"/>
          <w:outline w:val="0"/>
          <w:color w:val="982527"/>
          <w:sz w:val="27"/>
          <w:szCs w:val="27"/>
          <w:rtl w:val="0"/>
          <w:lang w:val="it-IT"/>
          <w14:textFill>
            <w14:solidFill>
              <w14:srgbClr w14:val="992528"/>
            </w14:solidFill>
          </w14:textFill>
        </w:rPr>
        <w:t>diagnosis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A 62-year-old married male named Jayantha Jayalath is admitted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Colombo North Teaching Hospital (CNTH) with a history of chest pain.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He is admitted to Ward 12 on 18 April 2012 at 10.25 in the evening.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examination by the admitting doctor (Dr W. Thomas, Admitting Medical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 xml:space="preserve">Officer), a </w:t>
      </w:r>
      <w:r>
        <w:rPr>
          <w:rFonts w:ascii="Helvetica" w:hAnsi="Helvetica"/>
          <w:b w:val="1"/>
          <w:bCs w:val="1"/>
          <w:outline w:val="0"/>
          <w:color w:val="1a1918"/>
          <w:sz w:val="21"/>
          <w:szCs w:val="21"/>
          <w:rtl w:val="0"/>
          <w:lang w:val="it-IT"/>
          <w14:textFill>
            <w14:solidFill>
              <w14:srgbClr w14:val="1A1919"/>
            </w14:solidFill>
          </w14:textFill>
        </w:rPr>
        <w:t xml:space="preserve">provisional diagnosis 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of acute myocardial infarction is made.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 xml:space="preserve">The patient is seen by the </w:t>
      </w:r>
      <w:r>
        <w:rPr>
          <w:rFonts w:ascii="Helvetica" w:hAnsi="Helvetica"/>
          <w:i w:val="1"/>
          <w:iCs w:val="1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Senior House Officer o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f the ward, Dr Kevin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Williams, at 10.39 the same night. The ECG and other investigations reveal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an acute anterolateral myocardial infarction. The patient is given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necessary treatment. He recovers well and is discharged from the ward on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23 April at 12.25pm</w:t>
      </w: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Hospital Ward Number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Hospital Ward Number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Hospital Ward Number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Hospital Ward Number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MR Number Date of Admission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MR Number Date of Admission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MR Number Date of Admission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MR Number Date of Admission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Attending Physician Time of Admission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Attending Physician Time of Admission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Attending Physician Time of Admission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Attending Physician Time of Admission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Patient Name in Full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Patient Name in Full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Patient Name in Full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>Patient Name in Full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b w:val="0"/>
                <w:bCs w:val="0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Patient Address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Patient Address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Patient Address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outline w:val="0"/>
                <w:color w:val="000000"/>
                <w:sz w:val="14"/>
                <w:szCs w:val="14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Patient Address 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215956</wp:posOffset>
            </wp:positionV>
            <wp:extent cx="6120057" cy="349936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581"/>
                <wp:lineTo x="0" y="21581"/>
                <wp:lineTo x="0" y="0"/>
              </wp:wrapPolygon>
            </wp:wrapThrough>
            <wp:docPr id="1073741825" name="officeArt object" descr="image3-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-7.png" descr="image3-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993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  <w:r>
        <w:rPr>
          <w:rFonts w:ascii="Helvetica" w:hAnsi="Helvetica"/>
          <w:outline w:val="0"/>
          <w:color w:val="dc514f"/>
          <w:sz w:val="39"/>
          <w:szCs w:val="39"/>
          <w:rtl w:val="0"/>
          <w:lang w:val="fr-FR"/>
          <w14:textFill>
            <w14:solidFill>
              <w14:srgbClr w14:val="DD5150"/>
            </w14:solidFill>
          </w14:textFill>
        </w:rPr>
        <w:t>References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dc514f"/>
          <w:sz w:val="39"/>
          <w:szCs w:val="39"/>
          <w:rtl w:val="0"/>
          <w14:textFill>
            <w14:solidFill>
              <w14:srgbClr w14:val="DD5150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a1918"/>
          <w:sz w:val="21"/>
          <w:szCs w:val="21"/>
          <w:rtl w:val="0"/>
          <w:lang w:val="de-DE"/>
          <w14:textFill>
            <w14:solidFill>
              <w14:srgbClr w14:val="1A1919"/>
            </w14:solidFill>
          </w14:textFill>
        </w:rPr>
        <w:t>Huffman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, Edna K 1994, Health information management, 10th edn,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Physicians</w:t>
      </w:r>
      <w:r>
        <w:rPr>
          <w:rFonts w:ascii="Helvetica" w:hAnsi="Helvetica" w:hint="default"/>
          <w:outline w:val="0"/>
          <w:color w:val="1a1918"/>
          <w:sz w:val="21"/>
          <w:szCs w:val="21"/>
          <w:rtl w:val="1"/>
          <w14:textFill>
            <w14:solidFill>
              <w14:srgbClr w14:val="1A1919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  <w:t>Record Company, Berwyn, Illinois.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  <w:t xml:space="preserve">Lowe, N 2009, </w:t>
      </w:r>
      <w:r>
        <w:rPr>
          <w:rFonts w:ascii="Helvetica" w:hAnsi="Helvetica" w:hint="default"/>
          <w:outline w:val="0"/>
          <w:color w:val="1a1918"/>
          <w:sz w:val="21"/>
          <w:szCs w:val="21"/>
          <w:rtl w:val="1"/>
          <w14:textFill>
            <w14:solidFill>
              <w14:srgbClr w14:val="1A1919"/>
            </w14:solidFill>
          </w14:textFill>
        </w:rPr>
        <w:t>‘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Medical record keeping and documentation standards</w:t>
      </w:r>
      <w:r>
        <w:rPr>
          <w:rFonts w:ascii="Helvetica" w:hAnsi="Helvetica" w:hint="default"/>
          <w:outline w:val="0"/>
          <w:color w:val="1a1918"/>
          <w:sz w:val="21"/>
          <w:szCs w:val="21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in Managed Health Services provider manual, Managed Health Services,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Milwaukee, Wisconsin.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Royal College of Physicians 2009, Improving clinical records and clinical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coding together, Audit Commission, 1st Floor, Millbank Tower, Millbank,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  <w:t>London.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de-DE"/>
          <w14:textFill>
            <w14:solidFill>
              <w14:srgbClr w14:val="1A1919"/>
            </w14:solidFill>
          </w14:textFill>
        </w:rPr>
        <w:t>WHO</w:t>
      </w:r>
      <w:r>
        <w:rPr>
          <w:rFonts w:ascii="Helvetica" w:hAnsi="Helvetica" w:hint="default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see World Health Organization.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 xml:space="preserve">World Health Organization 2006, </w:t>
      </w:r>
      <w:r>
        <w:rPr>
          <w:rFonts w:ascii="Helvetica" w:hAnsi="Helvetica" w:hint="default"/>
          <w:outline w:val="0"/>
          <w:color w:val="1a1918"/>
          <w:sz w:val="21"/>
          <w:szCs w:val="21"/>
          <w:rtl w:val="1"/>
          <w14:textFill>
            <w14:solidFill>
              <w14:srgbClr w14:val="1A1919"/>
            </w14:solidFill>
          </w14:textFill>
        </w:rPr>
        <w:t>‘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Components of a medical record</w:t>
      </w:r>
      <w:r>
        <w:rPr>
          <w:rFonts w:ascii="Helvetica" w:hAnsi="Helvetica" w:hint="default"/>
          <w:outline w:val="0"/>
          <w:color w:val="1a1918"/>
          <w:sz w:val="21"/>
          <w:szCs w:val="21"/>
          <w:rtl w:val="1"/>
          <w14:textFill>
            <w14:solidFill>
              <w14:srgbClr w14:val="1A1919"/>
            </w14:solidFill>
          </w14:textFill>
        </w:rPr>
        <w:t>’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  <w:t>,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Medical records manual: A guide for developing countries, World Health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Organization, Geneva.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2004, International statistical classification of diseases and related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health problems, 10th revision, vol 2, 2nd edn, World Health Organization,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it-IT"/>
          <w14:textFill>
            <w14:solidFill>
              <w14:srgbClr w14:val="1A1919"/>
            </w14:solidFill>
          </w14:textFill>
        </w:rPr>
        <w:t>Geneva.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 w:hint="default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—</w:t>
      </w: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2003, Improving data quality: A guide for developing countries, World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  <w:r>
        <w:rPr>
          <w:rFonts w:ascii="Helvetica" w:hAnsi="Helvetica"/>
          <w:outline w:val="0"/>
          <w:color w:val="1a1918"/>
          <w:sz w:val="21"/>
          <w:szCs w:val="21"/>
          <w:rtl w:val="0"/>
          <w:lang w:val="en-US"/>
          <w14:textFill>
            <w14:solidFill>
              <w14:srgbClr w14:val="1A1919"/>
            </w14:solidFill>
          </w14:textFill>
        </w:rPr>
        <w:t>Health Organization, Regional Office for the Western Pacific, Manila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outline w:val="0"/>
          <w:color w:val="1a1918"/>
          <w:sz w:val="21"/>
          <w:szCs w:val="21"/>
          <w:rtl w:val="0"/>
          <w14:textFill>
            <w14:solidFill>
              <w14:srgbClr w14:val="1A1919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