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↪ terrible lizards had long since ended. Here on the Equator, in the</w:t>
      </w:r>
      <w:r>
        <w:t xml:space="preserve"> </w:t>
      </w:r>
      <w:r>
        <w:t xml:space="preserve">↪ continent which would one day be known as Africa, the battle for existence</w:t>
      </w:r>
      <w:r>
        <w:t xml:space="preserve"> </w:t>
      </w:r>
      <w:r>
        <w:t xml:space="preserve">↪ had reached a new climax of ferocity, and the victor was not yet in sight.</w:t>
      </w:r>
      <w:r>
        <w:t xml:space="preserve"> </w:t>
      </w:r>
      <w:r>
        <w:t xml:space="preserve">↪ In this barren and desiccated land, only the small or the swift or the</w:t>
      </w:r>
      <w:r>
        <w:t xml:space="preserve"> </w:t>
      </w:r>
      <w:r>
        <w:t xml:space="preserve">↪ fierce could flourish, 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  <w:r>
        <w:t xml:space="preserve"> </w:t>
      </w:r>
      <w:hyperlink r:id="rId21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  <w:r>
        <w:t xml:space="preserve"> </w:t>
      </w:r>
      <w:r>
        <w:rPr>
          <w:rStyle w:val="VerbatimChar"/>
        </w:rPr>
        <w:t xml:space="preserve">language  your code goes in here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Перейдите в каталог курса сформированный при выполнении лабораторной работы №2:</w:t>
      </w:r>
      <w:r>
        <w:t xml:space="preserve"> </w:t>
      </w:r>
      <w:r>
        <w:t xml:space="preserve">cd ~/work/study/2023-2024/”Архитектура компьютера”/arch-pc/ и обновите локальный репозиторий, скачав изменения из удаленного репозитория с помощью команды git pull</w:t>
      </w:r>
      <w:r>
        <w:t xml:space="preserve"> </w:t>
      </w:r>
      <w:bookmarkStart w:id="27" w:name="fig:001"/>
      <w:r>
        <w:drawing>
          <wp:inline>
            <wp:extent cx="3733800" cy="674728"/>
            <wp:effectExtent b="0" l="0" r="0" t="0"/>
            <wp:docPr descr="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Перейдите в каталог с шаблоном отчета по лабораторной работе № 3 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bookmarkStart w:id="31" w:name="fig:001"/>
      <w:r>
        <w:drawing>
          <wp:inline>
            <wp:extent cx="3733800" cy="488620"/>
            <wp:effectExtent b="0" l="0" r="0" t="0"/>
            <wp:docPr descr="2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Проведите компиляцию шаблона с использованием Makefile. Для этого введите команду make</w:t>
      </w:r>
      <w:r>
        <w:t xml:space="preserve"> </w:t>
      </w:r>
      <w:bookmarkStart w:id="35" w:name="fig:001"/>
      <w:r>
        <w:drawing>
          <wp:inline>
            <wp:extent cx="3733800" cy="1439920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Удалите полученный файлы с использованием Makefile. Для этого введите команду make clean</w:t>
      </w:r>
      <w:r>
        <w:t xml:space="preserve"> </w:t>
      </w:r>
      <w:bookmarkStart w:id="39" w:name="fig:001"/>
      <w:r>
        <w:drawing>
          <wp:inline>
            <wp:extent cx="3733800" cy="589070"/>
            <wp:effectExtent b="0" l="0" r="0" t="0"/>
            <wp:docPr descr="4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Откройте файл report.md c помощью любого текстового редактора, например gedit gedit report.md</w:t>
      </w:r>
      <w:r>
        <w:t xml:space="preserve"> </w:t>
      </w:r>
      <w:bookmarkStart w:id="43" w:name="fig:001"/>
      <w:r>
        <w:drawing>
          <wp:inline>
            <wp:extent cx="3733800" cy="406244"/>
            <wp:effectExtent b="0" l="0" r="0" t="0"/>
            <wp:docPr descr="5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![6]((image/6.jpg){#fig:001 width=70%}</w:t>
      </w:r>
    </w:p>
    <w:p>
      <w:pPr>
        <w:pStyle w:val="BodyTex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</w:t>
      </w:r>
      <w:r>
        <w:t xml:space="preserve"> </w:t>
      </w:r>
      <w:bookmarkStart w:id="47" w:name="fig:001"/>
      <w:r>
        <w:drawing>
          <wp:inline>
            <wp:extent cx="3733800" cy="3068688"/>
            <wp:effectExtent b="0" l="0" r="0" t="0"/>
            <wp:docPr descr="7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# Вывод</w:t>
      </w:r>
    </w:p>
    <w:p>
      <w:pPr>
        <w:pStyle w:val="BodyText"/>
      </w:pPr>
      <w:r>
        <w:t xml:space="preserve">Таким образом мы научились создавать отчеты в системе Markdown и получать отчеты в виде .pdf , md. и .docx</w:t>
      </w:r>
    </w:p>
    <w:bookmarkEnd w:id="48"/>
    <w:bookmarkStart w:id="5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 и md.</w:t>
      </w:r>
      <w:r>
        <w:t xml:space="preserve"> </w:t>
      </w:r>
      <w:bookmarkStart w:id="52" w:name="fig:001"/>
      <w:r>
        <w:drawing>
          <wp:inline>
            <wp:extent cx="3733800" cy="952545"/>
            <wp:effectExtent b="0" l="0" r="0" t="0"/>
            <wp:docPr descr="8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1"/>
        </w:numPr>
      </w:pPr>
      <w:r>
        <w:t xml:space="preserve">Загрузите файлы на github.</w:t>
      </w:r>
      <w:bookmarkStart w:id="56" w:name="fig:001"/>
      <w:r>
        <w:drawing>
          <wp:inline>
            <wp:extent cx="3733800" cy="906977"/>
            <wp:effectExtent b="0" l="0" r="0" t="0"/>
            <wp:docPr descr="9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мы научились создавать отчеты в системе Markdown и получать отчеты в виде .pdf , md. и .docx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 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2005. — 354 с. — (In a Nutshell). — ISBN 0596009658. — URL: http://www.amazon.com/Learningbash-Shell-Programming-Nutshell/dp/0596009658.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 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 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 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 2015. — 1120 с. — (Классика Computer Science).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hyperlink" Id="rId21" Target="file-name.md" TargetMode="External" /><Relationship Type="http://schemas.openxmlformats.org/officeDocument/2006/relationships/hyperlink" Id="rId22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-name.md" TargetMode="External" /><Relationship Type="http://schemas.openxmlformats.org/officeDocument/2006/relationships/hyperlink" Id="rId22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Павленко Сергей</dc:creator>
  <dc:language>ru-RU</dc:language>
  <cp:keywords/>
  <dcterms:created xsi:type="dcterms:W3CDTF">2023-10-14T18:11:42Z</dcterms:created>
  <dcterms:modified xsi:type="dcterms:W3CDTF">2023-10-14T18:11:42Z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 тему 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