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№6.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Павленко</w:t>
      </w:r>
      <w:r>
        <w:t xml:space="preserve"> </w:t>
      </w:r>
      <w:r>
        <w:t xml:space="preserve">Сергей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SourceCode"/>
      </w:pPr>
      <w:r>
        <w:rPr>
          <w:rStyle w:val="VerbatimChar"/>
        </w:rPr>
        <w:t xml:space="preserve">Большинство инструкций на языке ассемблера требуют обработки операндов. Адрес опе-</w:t>
      </w:r>
    </w:p>
    <w:p>
      <w:pPr>
        <w:pStyle w:val="FirstParagraph"/>
      </w:pPr>
      <w:r>
        <w:t xml:space="preserve">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 Далее рассмотрены все существующие</w:t>
      </w:r>
      <w:r>
        <w:t xml:space="preserve"> </w:t>
      </w:r>
      <w:r>
        <w:t xml:space="preserve">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* Регистровая адресация 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  <w:r>
        <w:t xml:space="preserve"> </w:t>
      </w:r>
      <w:r>
        <w:t xml:space="preserve">* Непосредственная адресация – значение операнда задается непосредственно в ко-</w:t>
      </w:r>
      <w:r>
        <w:t xml:space="preserve"> </w:t>
      </w:r>
      <w:r>
        <w:t xml:space="preserve">манде, Например: mov ax,2.</w:t>
      </w:r>
      <w:r>
        <w:t xml:space="preserve"> </w:t>
      </w:r>
      <w:r>
        <w:t xml:space="preserve">* Адресация памяти – операнд задает адрес в памяти. В команде указывается символи-</w:t>
      </w:r>
      <w:r>
        <w:t xml:space="preserve"> </w:t>
      </w:r>
      <w:r>
        <w:t xml:space="preserve">ческое обозначение ячейки памяти, над содержимым которой требуется выполнить</w:t>
      </w:r>
      <w:r>
        <w:t xml:space="preserve"> </w:t>
      </w:r>
      <w:r>
        <w:t xml:space="preserve">операцию.</w:t>
      </w:r>
      <w:r>
        <w:t xml:space="preserve"> </w:t>
      </w:r>
      <w:r>
        <w:t xml:space="preserve">Например, определим переменную intg DD 3 – это означает, что задается область памяти</w:t>
      </w:r>
      <w:r>
        <w:t xml:space="preserve"> </w:t>
      </w:r>
      <w:r>
        <w:t xml:space="preserve">размером 4 байта, адрес которой обозначен меткой intg. В таком случае, команда</w:t>
      </w:r>
      <w:r>
        <w:t xml:space="preserve"> </w:t>
      </w:r>
      <w:r>
        <w:t xml:space="preserve">mov eax,[intg]</w:t>
      </w:r>
      <w:r>
        <w:t xml:space="preserve"> </w:t>
      </w:r>
      <w:r>
        <w:t xml:space="preserve">копирует из памяти по адресу intg данные в регистр eax. В свою очередь команда</w:t>
      </w:r>
      <w:r>
        <w:t xml:space="preserve"> </w:t>
      </w:r>
      <w:r>
        <w:t xml:space="preserve">mov [intg],eax</w:t>
      </w:r>
      <w:r>
        <w:t xml:space="preserve"> </w:t>
      </w:r>
      <w:r>
        <w:t xml:space="preserve">запишет в память по адресу intg данные из регистра eax.</w:t>
      </w:r>
      <w:r>
        <w:t xml:space="preserve"> </w:t>
      </w:r>
      <w:r>
        <w:t xml:space="preserve">Также рассмотрим команду</w:t>
      </w:r>
      <w:r>
        <w:t xml:space="preserve"> </w:t>
      </w:r>
      <w:r>
        <w:t xml:space="preserve">mov eax,intg</w:t>
      </w:r>
      <w:r>
        <w:t xml:space="preserve"> </w:t>
      </w:r>
      <w:r>
        <w:t xml:space="preserve">В этом случае в регистр eax запишется адрес intg. Допустим, для intg выделена память</w:t>
      </w:r>
      <w:r>
        <w:t xml:space="preserve"> </w:t>
      </w:r>
      <w:r>
        <w:t xml:space="preserve">начиная с ячейки с адресом 0x600144, тогда команда mov eax,intg аналогична команде mov</w:t>
      </w:r>
      <w:r>
        <w:t xml:space="preserve"> </w:t>
      </w:r>
      <w:r>
        <w:t xml:space="preserve">eax,0x600144 – т.е. эта команда запишет в регистр eax число 0x600144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Перейдите в каталог для программам лабораторной работы № 6, и создайте файл lab6-1.asm</w:t>
      </w:r>
    </w:p>
    <w:p>
      <w:pPr>
        <w:pStyle w:val="CaptionedFigure"/>
      </w:pPr>
      <w:r>
        <w:drawing>
          <wp:inline>
            <wp:extent cx="3733800" cy="433102"/>
            <wp:effectExtent b="0" l="0" r="0" t="0"/>
            <wp:docPr descr="1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3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numPr>
          <w:ilvl w:val="0"/>
          <w:numId w:val="1002"/>
        </w:numPr>
        <w:pStyle w:val="Compact"/>
      </w:pPr>
      <w:r>
        <w:t xml:space="preserve">Создайте исполняемый файл и запустите его.</w:t>
      </w:r>
      <w:r>
        <w:t xml:space="preserve"> </w:t>
      </w:r>
      <w:r>
        <w:t xml:space="preserve">nasm -f elf lab6-1.asm</w:t>
      </w:r>
      <w:r>
        <w:t xml:space="preserve"> </w:t>
      </w:r>
      <w:r>
        <w:t xml:space="preserve">ld -m elf_i386 -o lab6-1 lab6-1.o</w:t>
      </w:r>
      <w:r>
        <w:t xml:space="preserve"> </w:t>
      </w:r>
      <w:r>
        <w:t xml:space="preserve">./lab6-1</w:t>
      </w:r>
    </w:p>
    <w:p>
      <w:pPr>
        <w:pStyle w:val="CaptionedFigure"/>
      </w:pPr>
      <w:r>
        <w:drawing>
          <wp:inline>
            <wp:extent cx="3733800" cy="825174"/>
            <wp:effectExtent b="0" l="0" r="0" t="0"/>
            <wp:docPr descr="2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5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numPr>
          <w:ilvl w:val="0"/>
          <w:numId w:val="1003"/>
        </w:numPr>
        <w:pStyle w:val="Compact"/>
      </w:pPr>
      <w:r>
        <w:t xml:space="preserve">Далее изменим текст программы и вместо символов, запишем в регистры числа. Исправьте текст программы следующим образом: замените строки</w:t>
      </w:r>
      <w:r>
        <w:t xml:space="preserve"> </w:t>
      </w:r>
      <w:r>
        <w:t xml:space="preserve">moveax,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строки</w:t>
      </w:r>
      <w:r>
        <w:t xml:space="preserve"> </w:t>
      </w:r>
      <w:r>
        <w:t xml:space="preserve">moveax,6</w:t>
      </w:r>
      <w:r>
        <w:t xml:space="preserve"> </w:t>
      </w:r>
      <w:r>
        <w:t xml:space="preserve">movebx,4</w:t>
      </w:r>
    </w:p>
    <w:p>
      <w:pPr>
        <w:pStyle w:val="FirstParagraph"/>
      </w:pPr>
      <w:r>
        <w:t xml:space="preserve">Пользуясь таблицей ASCII, узнаем, что символ с кодом 10 переносит строку</w:t>
      </w:r>
    </w:p>
    <w:p>
      <w:pPr>
        <w:pStyle w:val="CaptionedFigure"/>
      </w:pPr>
      <w:r>
        <w:drawing>
          <wp:inline>
            <wp:extent cx="3733800" cy="930030"/>
            <wp:effectExtent b="0" l="0" r="0" t="0"/>
            <wp:docPr descr="3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0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p>
      <w:pPr>
        <w:numPr>
          <w:ilvl w:val="0"/>
          <w:numId w:val="1004"/>
        </w:numPr>
        <w:pStyle w:val="Compact"/>
      </w:pPr>
      <w:r>
        <w:t xml:space="preserve">Создайте файл lab6-2.asm в каталоге ~/work/arch-pc/lab06 и введите в него текст программы из листинга 6.2.</w:t>
      </w:r>
      <w:r>
        <w:t xml:space="preserve"> </w:t>
      </w:r>
      <w:r>
        <w:t xml:space="preserve">touch ~/work/arch-pc/lab06/lab6-2.asm</w:t>
      </w:r>
    </w:p>
    <w:p>
      <w:pPr>
        <w:pStyle w:val="CaptionedFigure"/>
      </w:pPr>
      <w:r>
        <w:drawing>
          <wp:inline>
            <wp:extent cx="3733800" cy="1066800"/>
            <wp:effectExtent b="0" l="0" r="0" t="0"/>
            <wp:docPr descr="4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</w:t>
      </w:r>
    </w:p>
    <w:p>
      <w:pPr>
        <w:numPr>
          <w:ilvl w:val="0"/>
          <w:numId w:val="1005"/>
        </w:numPr>
        <w:pStyle w:val="Compact"/>
      </w:pPr>
      <w:r>
        <w:t xml:space="preserve">Аналогично предыдущему примеру изменим символы на числа. Замените строки</w:t>
      </w:r>
      <w:r>
        <w:t xml:space="preserve"> </w:t>
      </w:r>
      <w:r>
        <w:t xml:space="preserve">moveax,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строки</w:t>
      </w:r>
      <w:r>
        <w:t xml:space="preserve"> </w:t>
      </w:r>
      <w:r>
        <w:t xml:space="preserve">moveax,6</w:t>
      </w:r>
      <w:r>
        <w:t xml:space="preserve"> </w:t>
      </w:r>
      <w:r>
        <w:t xml:space="preserve">movebx,4</w:t>
      </w:r>
      <w:r>
        <w:t xml:space="preserve"> </w:t>
      </w:r>
      <w:r>
        <w:t xml:space="preserve">Создайте исполняемый файл и запустите его. Какой результат будет получен при исполнении программы?</w:t>
      </w:r>
    </w:p>
    <w:p>
      <w:pPr>
        <w:pStyle w:val="CaptionedFigure"/>
      </w:pPr>
      <w:r>
        <w:drawing>
          <wp:inline>
            <wp:extent cx="3733800" cy="907235"/>
            <wp:effectExtent b="0" l="0" r="0" t="0"/>
            <wp:docPr descr="5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7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</w:t>
      </w:r>
    </w:p>
    <w:p>
      <w:pPr>
        <w:pStyle w:val="BodyText"/>
      </w:pPr>
      <w:r>
        <w:t xml:space="preserve">Замените функцию iprintLF на iprint. Создайте исполняемый файл и запустите его. Чем отличается вывод функций iprintLF и iprint?</w:t>
      </w:r>
    </w:p>
    <w:p>
      <w:pPr>
        <w:pStyle w:val="CaptionedFigure"/>
      </w:pPr>
      <w:r>
        <w:drawing>
          <wp:inline>
            <wp:extent cx="3733800" cy="907235"/>
            <wp:effectExtent b="0" l="0" r="0" t="0"/>
            <wp:docPr descr="6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7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</w:t>
      </w:r>
    </w:p>
    <w:p>
      <w:pPr>
        <w:pStyle w:val="BodyText"/>
      </w:pPr>
      <w:r>
        <w:t xml:space="preserve">iprint Функция вывода на экран чисел в формате ASCII</w:t>
      </w:r>
      <w:r>
        <w:t xml:space="preserve"> </w:t>
      </w:r>
      <w:r>
        <w:t xml:space="preserve">iprintLF Функция вывода на экран чисел в формате ASCII с переводом строки</w:t>
      </w:r>
    </w:p>
    <w:p>
      <w:pPr>
        <w:numPr>
          <w:ilvl w:val="0"/>
          <w:numId w:val="1006"/>
        </w:numPr>
        <w:pStyle w:val="Compact"/>
      </w:pPr>
      <w:r>
        <w:t xml:space="preserve">Создайте файл lab6-3.asm в каталоге ~/work/arch-pc/lab06: touch ~/work/arch-pc/lab06/lab6-3.asm</w:t>
      </w:r>
      <w:r>
        <w:t xml:space="preserve"> </w:t>
      </w:r>
      <w:r>
        <w:t xml:space="preserve">Внимательно изучите текст программы из листинга 6.3 и введите в lab6-3.asm.</w:t>
      </w:r>
      <w:r>
        <w:t xml:space="preserve"> </w:t>
      </w:r>
      <w:r>
        <w:t xml:space="preserve">Создайте исполняемый файл и запустите его.</w:t>
      </w:r>
    </w:p>
    <w:p>
      <w:pPr>
        <w:pStyle w:val="CaptionedFigure"/>
      </w:pPr>
      <w:r>
        <w:drawing>
          <wp:inline>
            <wp:extent cx="3733800" cy="1022025"/>
            <wp:effectExtent b="0" l="0" r="0" t="0"/>
            <wp:docPr descr="7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2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p>
      <w:pPr>
        <w:pStyle w:val="BodyText"/>
      </w:pPr>
      <w:r>
        <w:t xml:space="preserve">Измените текст программы для вычисления выражения f(x) = (4 ∗ 6 + 2) / 5. Создайте исполняемый файл и проверьте его работу.</w:t>
      </w:r>
    </w:p>
    <w:p>
      <w:pPr>
        <w:pStyle w:val="CaptionedFigure"/>
      </w:pPr>
      <w:r>
        <w:drawing>
          <wp:inline>
            <wp:extent cx="3733800" cy="1022025"/>
            <wp:effectExtent b="0" l="0" r="0" t="0"/>
            <wp:docPr descr="8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2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8</w:t>
      </w:r>
    </w:p>
    <w:p>
      <w:pPr>
        <w:numPr>
          <w:ilvl w:val="0"/>
          <w:numId w:val="1007"/>
        </w:numPr>
        <w:pStyle w:val="Compact"/>
      </w:pPr>
      <w:r>
        <w:t xml:space="preserve">Создайте файл variant.asm в каталоге ~/work/arch-pc/lab06: touch ~/work/arch-pc/lab06/variant.asm</w:t>
      </w:r>
      <w:r>
        <w:t xml:space="preserve"> </w:t>
      </w:r>
      <w:r>
        <w:t xml:space="preserve">Внимательно изучите текст программы из листинга 6.4 и введите в файл variant.asm.</w:t>
      </w:r>
    </w:p>
    <w:p>
      <w:pPr>
        <w:pStyle w:val="CaptionedFigure"/>
      </w:pPr>
      <w:r>
        <w:drawing>
          <wp:inline>
            <wp:extent cx="3733800" cy="1022025"/>
            <wp:effectExtent b="0" l="0" r="0" t="0"/>
            <wp:docPr descr="9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2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9</w:t>
      </w:r>
    </w:p>
    <w:p>
      <w:pPr>
        <w:numPr>
          <w:ilvl w:val="0"/>
          <w:numId w:val="1008"/>
        </w:numPr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08"/>
        </w:numPr>
      </w:pPr>
      <w:r>
        <w:t xml:space="preserve">Для чего используется следующие инструкции?</w:t>
      </w:r>
      <w:r>
        <w:t xml:space="preserve"> </w:t>
      </w: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FirstParagraph"/>
      </w:pPr>
      <w:r>
        <w:t xml:space="preserve">call sread - Функция считывания сообщения, а ecx, edx - вводные данные</w:t>
      </w:r>
      <w:r>
        <w:t xml:space="preserve"> </w:t>
      </w:r>
      <w:r>
        <w:t xml:space="preserve">3. 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Это функция преобразования ascii-код символа в целое число</w:t>
      </w:r>
      <w:r>
        <w:t xml:space="preserve"> </w:t>
      </w:r>
      <w:r>
        <w:t xml:space="preserve">4. Какие строки листинга 6.4 отвечают за вычисления варианта?</w:t>
      </w:r>
    </w:p>
    <w:p>
      <w:pPr>
        <w:pStyle w:val="BodyText"/>
      </w:pP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  <w:r>
        <w:t xml:space="preserve"> </w:t>
      </w:r>
      <w:r>
        <w:t xml:space="preserve">5. 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При выполнении инструкции остаток от деления записывается в регистре ebx</w:t>
      </w:r>
      <w:r>
        <w:t xml:space="preserve"> </w:t>
      </w:r>
      <w:r>
        <w:t xml:space="preserve">6. 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Данная инструкция используется для увеличения edx на единицу</w:t>
      </w:r>
      <w:r>
        <w:t xml:space="preserve"> </w:t>
      </w:r>
      <w:r>
        <w:t xml:space="preserve">7. Какие строки листинга 6.4 отвечают за вывод на экран результата вычислений?</w:t>
      </w:r>
    </w:p>
    <w:p>
      <w:pPr>
        <w:pStyle w:val="BodyText"/>
      </w:pPr>
      <w:r>
        <w:t xml:space="preserve">mov eax,edx</w:t>
      </w:r>
      <w:r>
        <w:t xml:space="preserve"> </w:t>
      </w:r>
      <w:r>
        <w:t xml:space="preserve">call iprintLF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 мы ознакомились с арифметическими инструкциями языка ассемблера NASM и выполнили несколько примеров для закрепления материала</w:t>
      </w:r>
    </w:p>
    <w:bookmarkEnd w:id="49"/>
    <w:bookmarkStart w:id="53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</w:t>
      </w:r>
      <w:r>
        <w:t xml:space="preserve"> </w:t>
      </w:r>
      <w:r>
        <w:t xml:space="preserve">выражение для вычисления, выводить запрос на ввод значения x, вычислять заданное выражение в зависимости от введенного x, выводить результат вычислений. Вид</w:t>
      </w:r>
      <w:r>
        <w:t xml:space="preserve"> </w:t>
      </w:r>
      <w:r>
        <w:t xml:space="preserve">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 Создайте исполняемый файл и</w:t>
      </w:r>
      <w:r>
        <w:t xml:space="preserve"> </w:t>
      </w:r>
      <w:r>
        <w:t xml:space="preserve">проверьте его работу для значений x1 и x2 из 6.3.</w:t>
      </w:r>
      <w:r>
        <w:t xml:space="preserve"> </w:t>
      </w:r>
      <w:r>
        <w:t xml:space="preserve">6 вариант = (x^3)/2 + 1, при x1=2, x2=5</w:t>
      </w:r>
    </w:p>
    <w:p>
      <w:pPr>
        <w:pStyle w:val="CaptionedFigure"/>
      </w:pPr>
      <w:r>
        <w:drawing>
          <wp:inline>
            <wp:extent cx="3733800" cy="1493520"/>
            <wp:effectExtent b="0" l="0" r="0" t="0"/>
            <wp:docPr descr="10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10</w:t>
      </w:r>
    </w:p>
    <w:bookmarkEnd w:id="53"/>
    <w:bookmarkStart w:id="54" w:name="вывод-по-самостоятельной-работе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 по самостоятельной работе</w:t>
      </w:r>
    </w:p>
    <w:p>
      <w:pPr>
        <w:pStyle w:val="FirstParagraph"/>
      </w:pPr>
      <w:r>
        <w:t xml:space="preserve">Таким образом каждый смог опробывать решить свой индивидуальный вариант задания, связанное с решением арифметического произведения на языке ассемблер NASM</w:t>
      </w:r>
    </w:p>
    <w:bookmarkEnd w:id="54"/>
    <w:bookmarkStart w:id="5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9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9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9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9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numPr>
          <w:ilvl w:val="0"/>
          <w:numId w:val="1009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9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9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9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9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9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9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9"/>
        </w:numPr>
        <w:pStyle w:val="Compact"/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numPr>
          <w:ilvl w:val="0"/>
          <w:numId w:val="1009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9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9"/>
        </w:numPr>
        <w:pStyle w:val="Compact"/>
      </w:pPr>
      <w:r>
        <w:t xml:space="preserve">Таненбаум Э., Бос Х. Современные операционные системы. — 4-е изд. — СПб. : Питер,</w:t>
      </w:r>
      <w:r>
        <w:t xml:space="preserve"> </w:t>
      </w:r>
      <w:r>
        <w:t xml:space="preserve">2015 — 1120 с. — (Классика Computer Science).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№6.</dc:title>
  <dc:creator>Павленко Сергей</dc:creator>
  <dc:language>ru-RU</dc:language>
  <cp:keywords/>
  <dcterms:created xsi:type="dcterms:W3CDTF">2023-11-18T20:43:01Z</dcterms:created>
  <dcterms:modified xsi:type="dcterms:W3CDTF">2023-11-18T20:43:01Z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Арифметические операции в NASM.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