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№9.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Павленко</w:t>
      </w:r>
      <w:r>
        <w:t xml:space="preserve"> </w:t>
      </w:r>
      <w:r>
        <w:t xml:space="preserve">Сергей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  <w:r>
        <w:t xml:space="preserve"> </w:t>
      </w:r>
      <w:r>
        <w:t xml:space="preserve">* обнаружение ошибки</w:t>
      </w:r>
      <w:r>
        <w:t xml:space="preserve"> </w:t>
      </w:r>
      <w:r>
        <w:t xml:space="preserve">* поиск её местонахождения</w:t>
      </w:r>
      <w:r>
        <w:t xml:space="preserve"> </w:t>
      </w:r>
      <w:r>
        <w:t xml:space="preserve">* определение причины ошибки</w:t>
      </w:r>
      <w:r>
        <w:t xml:space="preserve"> </w:t>
      </w:r>
      <w:r>
        <w:t xml:space="preserve">* исправление ошибки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* синтаксические ошибки — обнаруживаются во время трансляции исходного кода и вызваны нарушением ожидаемой формы или структуры языка;</w:t>
      </w:r>
      <w:r>
        <w:t xml:space="preserve"> </w:t>
      </w:r>
      <w:r>
        <w:t xml:space="preserve">*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</w:t>
      </w:r>
      <w:r>
        <w:t xml:space="preserve"> </w:t>
      </w:r>
      <w:r>
        <w:t xml:space="preserve">*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*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*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*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*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выполнения лабораторной работы № 9, перейдите в него и создайте файл lab09-1.asm:</w:t>
      </w:r>
    </w:p>
    <w:p>
      <w:pPr>
        <w:pStyle w:val="FirstParagraph"/>
      </w:pPr>
      <w:r>
        <w:t xml:space="preserve">cd ~/work/arch-pc/lab09</w:t>
      </w:r>
      <w:r>
        <w:t xml:space="preserve"> </w:t>
      </w:r>
      <w:r>
        <w:t xml:space="preserve">touch lab09-1.asm</w:t>
      </w:r>
    </w:p>
    <w:p>
      <w:pPr>
        <w:pStyle w:val="CaptionedFigure"/>
      </w:pPr>
      <w:r>
        <w:drawing>
          <wp:inline>
            <wp:extent cx="3733800" cy="428695"/>
            <wp:effectExtent b="0" l="0" r="0" t="0"/>
            <wp:docPr descr="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numPr>
          <w:ilvl w:val="0"/>
          <w:numId w:val="1002"/>
        </w:numPr>
        <w:pStyle w:val="Compac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f(x) = 2x + 7 с помощью подпрограммы _calcul. В данном примере x вводится с</w:t>
      </w:r>
      <w:r>
        <w:t xml:space="preserve"> </w:t>
      </w:r>
      <w:r>
        <w:t xml:space="preserve">клавиатуры, а само выражение вычисляется в подпрограмме. Внимательно изучите</w:t>
      </w:r>
      <w:r>
        <w:t xml:space="preserve"> </w:t>
      </w:r>
      <w:r>
        <w:t xml:space="preserve">текст программы (Листинг 9.1)</w:t>
      </w:r>
      <w:r>
        <w:t xml:space="preserve"> </w:t>
      </w:r>
      <w:r>
        <w:t xml:space="preserve">Введите в файл lab09-1.asm текст программы из листинга 9.1. Создайте исполняемый</w:t>
      </w:r>
      <w:r>
        <w:t xml:space="preserve"> </w:t>
      </w:r>
      <w:r>
        <w:t xml:space="preserve">файл и проверьте его работу</w:t>
      </w:r>
    </w:p>
    <w:p>
      <w:pPr>
        <w:pStyle w:val="CaptionedFigure"/>
      </w:pPr>
      <w:r>
        <w:drawing>
          <wp:inline>
            <wp:extent cx="3733800" cy="998734"/>
            <wp:effectExtent b="0" l="0" r="0" t="0"/>
            <wp:docPr descr="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numPr>
          <w:ilvl w:val="0"/>
          <w:numId w:val="1003"/>
        </w:numPr>
        <w:pStyle w:val="Compact"/>
      </w:pPr>
      <w:r>
        <w:t xml:space="preserve">Измените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f(g(x)), где x вводится с клавиатуры, f(x) = 2x + 7, g(x) =</w:t>
      </w:r>
      <w:r>
        <w:t xml:space="preserve"> </w:t>
      </w:r>
      <w:r>
        <w:t xml:space="preserve">3x − 1. Т.е. x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g(x), результат возвращается в _calcul и вычисляется выражение</w:t>
      </w:r>
      <w:r>
        <w:t xml:space="preserve"> </w:t>
      </w:r>
      <w:r>
        <w:t xml:space="preserve">f(g(x)).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3733800" cy="998734"/>
            <wp:effectExtent b="0" l="0" r="0" t="0"/>
            <wp:docPr descr="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numPr>
          <w:ilvl w:val="0"/>
          <w:numId w:val="1004"/>
        </w:numPr>
        <w:pStyle w:val="Compact"/>
      </w:pPr>
      <w:r>
        <w:t xml:space="preserve">Создайте файл lab09-2.asm с текстом программы из Листинга 9.2. (Программа печати</w:t>
      </w:r>
      <w:r>
        <w:t xml:space="preserve"> </w:t>
      </w:r>
      <w:r>
        <w:t xml:space="preserve">сообщения Hello world!):</w:t>
      </w:r>
      <w:r>
        <w:t xml:space="preserve"> </w:t>
      </w:r>
      <w:r>
        <w:t xml:space="preserve">Получите исполняемый файл. 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nasm -f elf -g -l lab09-2.lst lab09-2.asm</w:t>
      </w:r>
      <w:r>
        <w:t xml:space="preserve"> </w:t>
      </w:r>
      <w:r>
        <w:t xml:space="preserve">ld -m elf_i386 -o lab09-2 lab09-2.o</w:t>
      </w:r>
      <w:r>
        <w:t xml:space="preserve"> </w:t>
      </w:r>
      <w:r>
        <w:t xml:space="preserve">Проверьте работу программы, запустив ее в оболочке GDB с помощью команды run (со-</w:t>
      </w:r>
      <w:r>
        <w:t xml:space="preserve"> </w:t>
      </w:r>
      <w:r>
        <w:t xml:space="preserve">кращённо r):</w:t>
      </w:r>
      <w:r>
        <w:t xml:space="preserve"> </w:t>
      </w:r>
      <w:r>
        <w:t xml:space="preserve">(gdb) run</w:t>
      </w:r>
    </w:p>
    <w:p>
      <w:pPr>
        <w:pStyle w:val="CaptionedFigure"/>
      </w:pPr>
      <w:r>
        <w:drawing>
          <wp:inline>
            <wp:extent cx="3733800" cy="3665079"/>
            <wp:effectExtent b="0" l="0" r="0" t="0"/>
            <wp:docPr descr="4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5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numPr>
          <w:ilvl w:val="0"/>
          <w:numId w:val="1005"/>
        </w:numPr>
        <w:pStyle w:val="Compact"/>
      </w:pPr>
      <w:r>
        <w:t xml:space="preserve">Для более подробного анализа программы установите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запустите её.</w:t>
      </w:r>
      <w:r>
        <w:t xml:space="preserve"> </w:t>
      </w:r>
      <w:r>
        <w:t xml:space="preserve">(gdb) break _start</w:t>
      </w:r>
      <w:r>
        <w:t xml:space="preserve"> </w:t>
      </w:r>
      <w:r>
        <w:t xml:space="preserve">Breakpoint 1 at 0x8049000: file lab09-2.asm, line 12.</w:t>
      </w:r>
      <w:r>
        <w:t xml:space="preserve"> </w:t>
      </w:r>
      <w:r>
        <w:t xml:space="preserve">(gdb) run</w:t>
      </w:r>
      <w:r>
        <w:t xml:space="preserve"> </w:t>
      </w:r>
      <w:r>
        <w:t xml:space="preserve">Starting program: ~/work/arch-pc/lab09/lab09-2</w:t>
      </w:r>
      <w:r>
        <w:t xml:space="preserve"> </w:t>
      </w:r>
      <w:r>
        <w:t xml:space="preserve">Breakpoint 1, _start () at lab09-2.asm:12</w:t>
      </w:r>
      <w:r>
        <w:t xml:space="preserve"> </w:t>
      </w:r>
      <w:r>
        <w:t xml:space="preserve">12 mov eax, 4</w:t>
      </w:r>
      <w:r>
        <w:t xml:space="preserve"> </w:t>
      </w:r>
      <w:r>
        <w:t xml:space="preserve">Посмотрите дисассимилированный код программы с помощью команды disassemble</w:t>
      </w:r>
      <w:r>
        <w:t xml:space="preserve"> </w:t>
      </w:r>
      <w:r>
        <w:t xml:space="preserve">начиная с метки _start</w:t>
      </w:r>
      <w:r>
        <w:t xml:space="preserve"> </w:t>
      </w:r>
      <w:r>
        <w:t xml:space="preserve">(gdb) disassemble _start</w:t>
      </w:r>
      <w:r>
        <w:t xml:space="preserve"> </w:t>
      </w:r>
      <w:r>
        <w:t xml:space="preserve">Переключитесь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</w:t>
      </w:r>
      <w:r>
        <w:t xml:space="preserve"> </w:t>
      </w:r>
      <w:r>
        <w:t xml:space="preserve">(gdb) set disassembly-flavor intel</w:t>
      </w:r>
      <w:r>
        <w:t xml:space="preserve"> </w:t>
      </w:r>
      <w:r>
        <w:t xml:space="preserve">(gdb) disassemble _start</w:t>
      </w:r>
    </w:p>
    <w:p>
      <w:pPr>
        <w:pStyle w:val="CaptionedFigure"/>
      </w:pPr>
      <w:r>
        <w:drawing>
          <wp:inline>
            <wp:extent cx="3733800" cy="4031587"/>
            <wp:effectExtent b="0" l="0" r="0" t="0"/>
            <wp:docPr descr="5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numPr>
          <w:ilvl w:val="0"/>
          <w:numId w:val="1006"/>
        </w:numPr>
        <w:pStyle w:val="Compact"/>
      </w:pPr>
      <w:r>
        <w:t xml:space="preserve">Перечислите различия отображения синтаксиса машинных команд в режимах ATT и Intel.</w:t>
      </w:r>
      <w:r>
        <w:t xml:space="preserve"> </w:t>
      </w:r>
      <w:r>
        <w:t xml:space="preserve">Включите режим псевдографики для более удобного анализа программы (рис. 9.2):</w:t>
      </w:r>
      <w:r>
        <w:t xml:space="preserve"> </w:t>
      </w:r>
      <w:r>
        <w:t xml:space="preserve">(gdb) layout asm</w:t>
      </w:r>
      <w:r>
        <w:t xml:space="preserve"> </w:t>
      </w:r>
      <w:r>
        <w:t xml:space="preserve">(gdb) layout regs</w:t>
      </w:r>
      <w:r>
        <w:t xml:space="preserve"> </w:t>
      </w:r>
      <w:r>
        <w:t xml:space="preserve">В этом режиме есть три окна:</w:t>
      </w:r>
    </w:p>
    <w:p>
      <w:pPr>
        <w:numPr>
          <w:ilvl w:val="0"/>
          <w:numId w:val="1007"/>
        </w:numPr>
        <w:pStyle w:val="Compact"/>
      </w:pPr>
      <w:r>
        <w:t xml:space="preserve">В верхней части видны названия регистров и их текущие значения;</w:t>
      </w:r>
    </w:p>
    <w:p>
      <w:pPr>
        <w:numPr>
          <w:ilvl w:val="0"/>
          <w:numId w:val="1007"/>
        </w:numPr>
        <w:pStyle w:val="Compact"/>
      </w:pPr>
      <w:r>
        <w:t xml:space="preserve">В средней части виден результат дисассимилирования программы;</w:t>
      </w:r>
    </w:p>
    <w:p>
      <w:pPr>
        <w:numPr>
          <w:ilvl w:val="0"/>
          <w:numId w:val="1007"/>
        </w:numPr>
        <w:pStyle w:val="Compact"/>
      </w:pPr>
      <w:r>
        <w:t xml:space="preserve">Нижняя часть доступна для ввода команд.</w:t>
      </w:r>
    </w:p>
    <w:p>
      <w:pPr>
        <w:pStyle w:val="CaptionedFigure"/>
      </w:pPr>
      <w:r>
        <w:drawing>
          <wp:inline>
            <wp:extent cx="3733800" cy="4031587"/>
            <wp:effectExtent b="0" l="0" r="0" t="0"/>
            <wp:docPr descr="6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ilvl w:val="0"/>
          <w:numId w:val="1008"/>
        </w:numPr>
        <w:pStyle w:val="Compact"/>
      </w:pPr>
      <w:r>
        <w:t xml:space="preserve">На предыдущих шагах была установлена точка останова по имени метки (_start). Проверьте это с помощью команды info breakpoints (кратко i b):</w:t>
      </w:r>
      <w:r>
        <w:t xml:space="preserve"> </w:t>
      </w:r>
      <w:r>
        <w:t xml:space="preserve">(gdb) info breakpoints</w:t>
      </w:r>
      <w:r>
        <w:t xml:space="preserve"> </w:t>
      </w: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 (см. рис. 9.3).</w:t>
      </w:r>
      <w:r>
        <w:t xml:space="preserve"> </w:t>
      </w:r>
      <w:r>
        <w:t xml:space="preserve">Определите адрес предпоследней инструкции (mov ebx,0x0) и установите точку останова.</w:t>
      </w:r>
      <w:r>
        <w:t xml:space="preserve"> </w:t>
      </w:r>
      <w:r>
        <w:t xml:space="preserve">(gdb) break</w:t>
      </w:r>
      <w:r>
        <w:t xml:space="preserve"> </w:t>
      </w:r>
      <w:r>
        <w:rPr>
          <w:iCs/>
          <w:i/>
        </w:rPr>
        <w:t xml:space="preserve"> </w:t>
      </w:r>
      <w:r>
        <w:rPr>
          <w:iCs/>
          <w:i/>
        </w:rPr>
        <w:t xml:space="preserve">Посмотрите информацию о всех установленных точках останова</w:t>
      </w:r>
      <w:r>
        <w:rPr>
          <w:iCs/>
          <w:i/>
        </w:rPr>
        <w:t xml:space="preserve"> </w:t>
      </w:r>
      <w:r>
        <w:rPr>
          <w:iCs/>
          <w:i/>
        </w:rPr>
        <w:t xml:space="preserve">Установим еще одну точку останова по адресу инструкции. Адрес инструкции можно</w:t>
      </w:r>
      <w:r>
        <w:rPr>
          <w:iCs/>
          <w:i/>
        </w:rPr>
        <w:t xml:space="preserve"> </w:t>
      </w:r>
      <w:r>
        <w:rPr>
          <w:iCs/>
          <w:i/>
        </w:rPr>
        <w:t xml:space="preserve">увидеть в средней части экрана в левом столбце соответствующей инструкции (см. рис. 9.3).</w:t>
      </w:r>
      <w:r>
        <w:rPr>
          <w:iCs/>
          <w:i/>
        </w:rPr>
        <w:t xml:space="preserve"> </w:t>
      </w:r>
      <w:r>
        <w:rPr>
          <w:iCs/>
          <w:i/>
        </w:rPr>
        <w:t xml:space="preserve">Определите адрес предпоследней инструкции (mov ebx,0x0) и установите точку останова.</w:t>
      </w:r>
      <w:r>
        <w:rPr>
          <w:iCs/>
          <w:i/>
        </w:rPr>
        <w:t xml:space="preserve"> </w:t>
      </w:r>
      <w:r>
        <w:rPr>
          <w:iCs/>
          <w:i/>
        </w:rPr>
        <w:t xml:space="preserve">(gdb) break</w:t>
      </w:r>
      <w:r>
        <w:rPr>
          <w:iCs/>
          <w:i/>
        </w:rPr>
        <w:t xml:space="preserve"> </w:t>
      </w:r>
      <w:r>
        <w:t xml:space="preserve"> </w:t>
      </w:r>
      <w:r>
        <w:t xml:space="preserve">Посмотрите информацию о всех установленных точках останова:</w:t>
      </w:r>
      <w:r>
        <w:t xml:space="preserve"> </w:t>
      </w:r>
      <w:r>
        <w:t xml:space="preserve">(gdb) i b</w:t>
      </w:r>
    </w:p>
    <w:p>
      <w:pPr>
        <w:pStyle w:val="CaptionedFigure"/>
      </w:pPr>
      <w:r>
        <w:drawing>
          <wp:inline>
            <wp:extent cx="3733800" cy="4352282"/>
            <wp:effectExtent b="0" l="0" r="0" t="0"/>
            <wp:docPr descr="7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2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aptionedFigure"/>
      </w:pPr>
      <w:r>
        <w:drawing>
          <wp:inline>
            <wp:extent cx="3733800" cy="4466815"/>
            <wp:effectExtent b="0" l="0" r="0" t="0"/>
            <wp:docPr descr="8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6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numPr>
          <w:ilvl w:val="0"/>
          <w:numId w:val="1009"/>
        </w:numPr>
        <w:pStyle w:val="Compact"/>
      </w:pPr>
      <w:r>
        <w:t xml:space="preserve">Отладчик может показывать содержимое ячеек памяти и регистров, а при необходимости</w:t>
      </w:r>
      <w:r>
        <w:t xml:space="preserve"> </w:t>
      </w:r>
      <w:r>
        <w:t xml:space="preserve">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 изменением</w:t>
      </w:r>
      <w:r>
        <w:t xml:space="preserve"> </w:t>
      </w:r>
      <w:r>
        <w:t xml:space="preserve">значений регистров. Значения каких регистров изменяются?</w:t>
      </w:r>
      <w:r>
        <w:t xml:space="preserve"> </w:t>
      </w:r>
      <w:r>
        <w:t xml:space="preserve">Посмотреть содержимое регистров также можно с помощью команды info registers</w:t>
      </w:r>
      <w:r>
        <w:t xml:space="preserve"> </w:t>
      </w:r>
      <w:r>
        <w:t xml:space="preserve">(или i r).</w:t>
      </w:r>
      <w:r>
        <w:t xml:space="preserve"> </w:t>
      </w:r>
      <w:r>
        <w:t xml:space="preserve">(gdb) info registers</w:t>
      </w:r>
    </w:p>
    <w:p>
      <w:pPr>
        <w:pStyle w:val="CaptionedFigure"/>
      </w:pPr>
      <w:r>
        <w:drawing>
          <wp:inline>
            <wp:extent cx="3733800" cy="4197118"/>
            <wp:effectExtent b="0" l="0" r="0" t="0"/>
            <wp:docPr descr="9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numPr>
          <w:ilvl w:val="0"/>
          <w:numId w:val="1010"/>
        </w:numPr>
        <w:pStyle w:val="Compact"/>
      </w:pP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пере-</w:t>
      </w:r>
      <w:r>
        <w:t xml:space="preserve"> </w:t>
      </w:r>
      <w:r>
        <w:t xml:space="preserve">менной.</w:t>
      </w:r>
      <w:r>
        <w:t xml:space="preserve"> </w:t>
      </w:r>
      <w:r>
        <w:t xml:space="preserve">Посмотрите значение переменной msg1 по имени</w:t>
      </w:r>
      <w:r>
        <w:t xml:space="preserve"> </w:t>
      </w:r>
      <w:r>
        <w:t xml:space="preserve">(gdb) x/1sb &amp;msg1</w:t>
      </w:r>
      <w:r>
        <w:t xml:space="preserve"> </w:t>
      </w:r>
      <w:r>
        <w:t xml:space="preserve">0x804a000</w:t>
      </w:r>
      <w:r>
        <w:t xml:space="preserve"> </w:t>
      </w:r>
      <w:r>
        <w:t xml:space="preserve">: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Посмотрите значение переменной msg2 по адресу. Адрес переменной можно определить</w:t>
      </w:r>
      <w:r>
        <w:t xml:space="preserve"> </w:t>
      </w:r>
      <w:r>
        <w:t xml:space="preserve">по дизассемблированной инструкции. Посмотрите инструкцию mov ecx,msg2 которая записывает в регистр ecx адрес перемененной msg2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10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numPr>
          <w:ilvl w:val="0"/>
          <w:numId w:val="1011"/>
        </w:numPr>
        <w:pStyle w:val="Compac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Измените первый символ переменной msg1:</w:t>
      </w:r>
      <w:r>
        <w:t xml:space="preserve"> </w:t>
      </w:r>
      <w:r>
        <w:t xml:space="preserve">(gdb) set {char}msg1=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(gdb) x/1sb &amp;msg1</w:t>
      </w:r>
      <w:r>
        <w:t xml:space="preserve"> </w:t>
      </w:r>
      <w:r>
        <w:t xml:space="preserve">0x804a000</w:t>
      </w:r>
      <w:r>
        <w:t xml:space="preserve"> </w:t>
      </w:r>
      <w:r>
        <w:t xml:space="preserve">: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(gdb)</w:t>
      </w:r>
    </w:p>
    <w:p>
      <w:pPr>
        <w:pStyle w:val="CaptionedFigure"/>
      </w:pPr>
      <w:r>
        <w:drawing>
          <wp:inline>
            <wp:extent cx="3733800" cy="1113670"/>
            <wp:effectExtent b="0" l="0" r="0" t="0"/>
            <wp:docPr descr="11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numPr>
          <w:ilvl w:val="0"/>
          <w:numId w:val="1012"/>
        </w:numPr>
        <w:pStyle w:val="Compact"/>
      </w:pPr>
      <w:r>
        <w:t xml:space="preserve">Замените любой символ во второй переменной msg2.</w:t>
      </w:r>
    </w:p>
    <w:p>
      <w:pPr>
        <w:pStyle w:val="CaptionedFigure"/>
      </w:pPr>
      <w:r>
        <w:drawing>
          <wp:inline>
            <wp:extent cx="3733800" cy="1113670"/>
            <wp:effectExtent b="0" l="0" r="0" t="0"/>
            <wp:docPr descr="12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numPr>
          <w:ilvl w:val="0"/>
          <w:numId w:val="1013"/>
        </w:numPr>
        <w:pStyle w:val="Compac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(перед именем регистра обязательно ставится префикс $)</w:t>
      </w:r>
      <w:r>
        <w:t xml:space="preserve"> </w:t>
      </w:r>
      <w:r>
        <w:t xml:space="preserve">p/F $</w:t>
      </w:r>
    </w:p>
    <w:p>
      <w:pPr>
        <w:pStyle w:val="CaptionedFigure"/>
      </w:pPr>
      <w:r>
        <w:drawing>
          <wp:inline>
            <wp:extent cx="3733800" cy="1113670"/>
            <wp:effectExtent b="0" l="0" r="0" t="0"/>
            <wp:docPr descr="13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numPr>
          <w:ilvl w:val="0"/>
          <w:numId w:val="1014"/>
        </w:numPr>
        <w:pStyle w:val="Compact"/>
      </w:pPr>
      <w:r>
        <w:t xml:space="preserve">С помощью команды set измените значение регистра ebx:</w:t>
      </w:r>
      <w:r>
        <w:t xml:space="preserve"> </w:t>
      </w:r>
      <w:r>
        <w:t xml:space="preserve">(gdb) set $ebx=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(gdb) p/s $ebx</w:t>
      </w:r>
      <w:r>
        <w:t xml:space="preserve"> </w:t>
      </w:r>
      <w:r>
        <w:t xml:space="preserve">$3 = 50</w:t>
      </w:r>
      <w:r>
        <w:t xml:space="preserve"> </w:t>
      </w:r>
      <w:r>
        <w:t xml:space="preserve">(gdb) set $ebx=2</w:t>
      </w:r>
      <w:r>
        <w:t xml:space="preserve"> </w:t>
      </w:r>
      <w:r>
        <w:t xml:space="preserve">(gdb) p/s $ebx</w:t>
      </w:r>
      <w:r>
        <w:t xml:space="preserve"> </w:t>
      </w:r>
      <w:r>
        <w:t xml:space="preserve">$4 = 2</w:t>
      </w:r>
      <w:r>
        <w:t xml:space="preserve"> </w:t>
      </w:r>
      <w:r>
        <w:t xml:space="preserve">(gdb)</w:t>
      </w:r>
    </w:p>
    <w:p>
      <w:pPr>
        <w:pStyle w:val="CaptionedFigure"/>
      </w:pPr>
      <w:r>
        <w:drawing>
          <wp:inline>
            <wp:extent cx="3733800" cy="720882"/>
            <wp:effectExtent b="0" l="0" r="0" t="0"/>
            <wp:docPr descr="14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numPr>
          <w:ilvl w:val="0"/>
          <w:numId w:val="1015"/>
        </w:numPr>
        <w:pStyle w:val="Compact"/>
      </w:pPr>
      <w:r>
        <w:t xml:space="preserve">Объясните разницу вывода команд p/s $ebx.</w:t>
      </w:r>
      <w:r>
        <w:t xml:space="preserve"> </w:t>
      </w:r>
      <w:r>
        <w:t xml:space="preserve">Обе команды делают одно и тоже - устанавливают значение переменной равным 2, однако в первом случае значение указывается внутри кавычек, что может быть полезно, если нужно установить значение переменной, которое содержит пробелы или специальные символы.</w:t>
      </w:r>
      <w:r>
        <w:t xml:space="preserve"> </w:t>
      </w:r>
      <w:r>
        <w:t xml:space="preserve">Завершите выполнение программы с помощью команды continue (сокращенно c) или</w:t>
      </w:r>
      <w:r>
        <w:t xml:space="preserve"> </w:t>
      </w:r>
      <w:r>
        <w:t xml:space="preserve">stepi (сокращенно si) и выйдите из GDB с помощью команды quit (сокращенно q)</w:t>
      </w:r>
    </w:p>
    <w:p>
      <w:pPr>
        <w:pStyle w:val="CaptionedFigure"/>
      </w:pPr>
      <w:r>
        <w:drawing>
          <wp:inline>
            <wp:extent cx="3733800" cy="554524"/>
            <wp:effectExtent b="0" l="0" r="0" t="0"/>
            <wp:docPr descr="15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p>
      <w:pPr>
        <w:pStyle w:val="CaptionedFigure"/>
      </w:pPr>
      <w:r>
        <w:drawing>
          <wp:inline>
            <wp:extent cx="3733800" cy="554524"/>
            <wp:effectExtent b="0" l="0" r="0" t="0"/>
            <wp:docPr descr="16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p>
      <w:pPr>
        <w:numPr>
          <w:ilvl w:val="0"/>
          <w:numId w:val="1016"/>
        </w:numPr>
        <w:pStyle w:val="Compact"/>
      </w:pPr>
      <w:r>
        <w:t xml:space="preserve">Скопируйте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lab09-3.asm:</w:t>
      </w:r>
      <w:r>
        <w:t xml:space="preserve"> </w:t>
      </w:r>
      <w:r>
        <w:t xml:space="preserve">cp ~/work/arch-pc/lab08/lab8-2.asm ~/work/arch-pc/lab09/lab09-3.asm</w:t>
      </w:r>
      <w:r>
        <w:t xml:space="preserve"> </w:t>
      </w:r>
      <w:r>
        <w:t xml:space="preserve">Создайте исполняемый файл.</w:t>
      </w:r>
      <w:r>
        <w:t xml:space="preserve"> </w:t>
      </w:r>
      <w:r>
        <w:t xml:space="preserve">nasm -f elf -g -l lab09-3.lst lab09-3.asm</w:t>
      </w:r>
      <w:r>
        <w:t xml:space="preserve"> </w:t>
      </w:r>
      <w:r>
        <w:t xml:space="preserve">ld -m elf_i386 -o lab09-3 lab09-3.o</w:t>
      </w:r>
      <w:r>
        <w:t xml:space="preserve"> </w:t>
      </w:r>
      <w:r>
        <w:t xml:space="preserve">Для загрузки в gdb программы с аргументами необходимо использовать ключ –args.</w:t>
      </w:r>
      <w:r>
        <w:t xml:space="preserve"> </w:t>
      </w:r>
      <w:r>
        <w:t xml:space="preserve">Загрузите исполняемый файл в отладчик, указав аргументы:</w:t>
      </w:r>
      <w:r>
        <w:t xml:space="preserve"> </w:t>
      </w:r>
      <w:r>
        <w:t xml:space="preserve">gdb –args lab09-3 аргумент1 аргумент 2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</w:p>
    <w:p>
      <w:pPr>
        <w:pStyle w:val="CaptionedFigure"/>
      </w:pPr>
      <w:r>
        <w:drawing>
          <wp:inline>
            <wp:extent cx="3733800" cy="3012758"/>
            <wp:effectExtent b="0" l="0" r="0" t="0"/>
            <wp:docPr descr="17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</w:t>
      </w:r>
    </w:p>
    <w:p>
      <w:pPr>
        <w:numPr>
          <w:ilvl w:val="0"/>
          <w:numId w:val="1017"/>
        </w:numPr>
        <w:pStyle w:val="Compact"/>
      </w:pP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ее.</w:t>
      </w:r>
      <w:r>
        <w:t xml:space="preserve"> </w:t>
      </w:r>
      <w:r>
        <w:t xml:space="preserve">(gdb) b _start</w:t>
      </w:r>
      <w:r>
        <w:t xml:space="preserve"> </w:t>
      </w:r>
      <w:r>
        <w:t xml:space="preserve">(gdb) run</w:t>
      </w:r>
      <w:r>
        <w:t xml:space="preserve"> </w:t>
      </w: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программы):</w:t>
      </w:r>
      <w:r>
        <w:t xml:space="preserve"> </w:t>
      </w:r>
      <w:r>
        <w:t xml:space="preserve">(gdb) x/x $esp</w:t>
      </w:r>
      <w:r>
        <w:t xml:space="preserve"> </w:t>
      </w:r>
      <w:r>
        <w:t xml:space="preserve">0xffffd200: 0x05</w:t>
      </w:r>
    </w:p>
    <w:p>
      <w:pPr>
        <w:pStyle w:val="CaptionedFigure"/>
      </w:pPr>
      <w:r>
        <w:drawing>
          <wp:inline>
            <wp:extent cx="3733800" cy="1544225"/>
            <wp:effectExtent b="0" l="0" r="0" t="0"/>
            <wp:docPr descr="18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</w:t>
      </w:r>
    </w:p>
    <w:p>
      <w:pPr>
        <w:numPr>
          <w:ilvl w:val="0"/>
          <w:numId w:val="1018"/>
        </w:numPr>
        <w:pStyle w:val="Compact"/>
      </w:pPr>
      <w:r>
        <w:t xml:space="preserve">Посмотрите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адресу [esp+12] – второго и т.д.</w:t>
      </w:r>
      <w:r>
        <w:t xml:space="preserve"> </w:t>
      </w:r>
      <w:r>
        <w:t xml:space="preserve">110 Демидова А. В.</w:t>
      </w:r>
      <w:r>
        <w:t xml:space="preserve"> </w:t>
      </w:r>
      <w:r>
        <w:t xml:space="preserve">Архитектура ЭВМ</w:t>
      </w:r>
      <w:r>
        <w:t xml:space="preserve"> </w:t>
      </w:r>
      <w:r>
        <w:t xml:space="preserve">(gdb) x/s *(void**)(</w:t>
      </w:r>
      <w:r>
        <w:t xml:space="preserve">$esp + 4) 0xffffd358: "~/lab09-3" (gdb) x/s *(void**)($</w:t>
      </w:r>
      <w:r>
        <w:t xml:space="preserve">esp + 8)</w:t>
      </w:r>
      <w:r>
        <w:t xml:space="preserve"> </w:t>
      </w:r>
      <w:r>
        <w:t xml:space="preserve">0xffffd3bc:</w:t>
      </w:r>
      <w:r>
        <w:t xml:space="preserve"> </w:t>
      </w:r>
      <w:r>
        <w:t xml:space="preserve">“</w:t>
      </w:r>
      <w:r>
        <w:t xml:space="preserve">аргумент1</w:t>
      </w:r>
      <w:r>
        <w:t xml:space="preserve">”</w:t>
      </w:r>
      <w:r>
        <w:t xml:space="preserve"> </w:t>
      </w:r>
      <w:r>
        <w:t xml:space="preserve">(gdb) x/s *(void**)(</w:t>
      </w:r>
      <w:r>
        <w:t xml:space="preserve">$esp + 12) 0xffffd3ce: "аргумент" (gdb) x/s *(void**)($</w:t>
      </w:r>
      <w:r>
        <w:t xml:space="preserve">esp + 16)</w:t>
      </w:r>
      <w:r>
        <w:t xml:space="preserve"> </w:t>
      </w:r>
      <w:r>
        <w:t xml:space="preserve">0xffffd3df: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(gdb) x/s *(void**)(</w:t>
      </w:r>
      <w:r>
        <w:t xml:space="preserve">$esp + 20) 0xffffd3e1: "аргумент 3" (gdb) x/s *(void**)($</w:t>
      </w:r>
      <w:r>
        <w:t xml:space="preserve">esp + 24)</w:t>
      </w:r>
      <w:r>
        <w:t xml:space="preserve"> </w:t>
      </w:r>
      <w:r>
        <w:t xml:space="preserve">0x0: &lt;error: Cannot access memory at address 0x0&gt;</w:t>
      </w:r>
      <w:r>
        <w:t xml:space="preserve"> </w:t>
      </w:r>
      <w:r>
        <w:t xml:space="preserve">(gdb)</w:t>
      </w:r>
    </w:p>
    <w:p>
      <w:pPr>
        <w:pStyle w:val="CaptionedFigure"/>
      </w:pPr>
      <w:r>
        <w:drawing>
          <wp:inline>
            <wp:extent cx="3733800" cy="1461252"/>
            <wp:effectExtent b="0" l="0" r="0" t="0"/>
            <wp:docPr descr="19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1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</w:t>
      </w:r>
    </w:p>
    <w:p>
      <w:pPr>
        <w:pStyle w:val="BodyText"/>
      </w:pPr>
      <w:r>
        <w:t xml:space="preserve">Объясните, почему шаг изменения адреса равен 4 ([esp+4], [esp+8], [esp+12] и т.д.).</w:t>
      </w:r>
      <w:r>
        <w:t xml:space="preserve"> </w:t>
      </w:r>
      <w:r>
        <w:t xml:space="preserve">Это может зависеть от разрядности процессора, архитектуры ОС и других факторов. Однако в х86 архитектуре процессоры используют систему адресации, которая предпологает, что каждый байт в памяти имеет адрес, кратный 4.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 мы приобрели навыкы написания программ с использованием подпрограмм. Познакомились</w:t>
      </w:r>
      <w:r>
        <w:t xml:space="preserve"> </w:t>
      </w:r>
      <w:r>
        <w:t xml:space="preserve">с методами отладки при помощи GDB и его основными возможностями</w:t>
      </w:r>
    </w:p>
    <w:bookmarkEnd w:id="80"/>
    <w:bookmarkStart w:id="90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9"/>
        </w:numPr>
        <w:pStyle w:val="Compact"/>
      </w:pPr>
      <w:r>
        <w:t xml:space="preserve">Преобразуйте программу из лабораторной работы №8 (Задание №1 для самостоятель-</w:t>
      </w:r>
      <w:r>
        <w:t xml:space="preserve"> </w:t>
      </w:r>
      <w:r>
        <w:t xml:space="preserve">ной работы), реализовав вычисление значения функции f(x) как подпрограмму.</w:t>
      </w:r>
    </w:p>
    <w:p>
      <w:pPr>
        <w:pStyle w:val="CaptionedFigure"/>
      </w:pPr>
      <w:r>
        <w:drawing>
          <wp:inline>
            <wp:extent cx="3733800" cy="1175710"/>
            <wp:effectExtent b="0" l="0" r="0" t="0"/>
            <wp:docPr descr="20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5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</w:t>
      </w:r>
    </w:p>
    <w:p>
      <w:pPr>
        <w:numPr>
          <w:ilvl w:val="0"/>
          <w:numId w:val="1020"/>
        </w:numPr>
        <w:pStyle w:val="Compact"/>
      </w:pPr>
      <w:r>
        <w:t xml:space="preserve">В листинге 9.3 приведена программа вычисления выражения (3 + 2) * 4 + 5. При запуске</w:t>
      </w:r>
      <w:r>
        <w:t xml:space="preserve"> </w:t>
      </w:r>
      <w:r>
        <w:t xml:space="preserve">данная программа дает неверный результат.</w:t>
      </w:r>
    </w:p>
    <w:p>
      <w:pPr>
        <w:pStyle w:val="CaptionedFigure"/>
      </w:pPr>
      <w:r>
        <w:drawing>
          <wp:inline>
            <wp:extent cx="3733800" cy="2722179"/>
            <wp:effectExtent b="0" l="0" r="0" t="0"/>
            <wp:docPr descr="21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</w:t>
      </w:r>
    </w:p>
    <w:p>
      <w:pPr>
        <w:pStyle w:val="BodyText"/>
      </w:pPr>
      <w:r>
        <w:t xml:space="preserve">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ее.</w:t>
      </w:r>
    </w:p>
    <w:p>
      <w:pPr>
        <w:pStyle w:val="CaptionedFigure"/>
      </w:pPr>
      <w:r>
        <w:drawing>
          <wp:inline>
            <wp:extent cx="3733800" cy="860260"/>
            <wp:effectExtent b="0" l="0" r="0" t="0"/>
            <wp:docPr descr="22" title="fig: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22</w:t>
      </w:r>
    </w:p>
    <w:bookmarkEnd w:id="90"/>
    <w:bookmarkStart w:id="91" w:name="выводы-по-самостоятельной-работе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 по самостоятельной работе</w:t>
      </w:r>
    </w:p>
    <w:p>
      <w:pPr>
        <w:pStyle w:val="FirstParagraph"/>
      </w:pPr>
      <w:r>
        <w:t xml:space="preserve">Таким образом в ходе самостоятельной работы мы закрепили знания по данной теме на практике</w:t>
      </w:r>
    </w:p>
    <w:bookmarkEnd w:id="91"/>
    <w:bookmarkStart w:id="9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1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21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21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21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21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numPr>
          <w:ilvl w:val="0"/>
          <w:numId w:val="1021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21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21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21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21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21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21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21"/>
        </w:numPr>
        <w:pStyle w:val="Compact"/>
      </w:pP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</w:p>
    <w:p>
      <w:pPr>
        <w:numPr>
          <w:ilvl w:val="0"/>
          <w:numId w:val="1021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21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21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1"/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№9.</dc:title>
  <dc:creator>Павленко Сергей</dc:creator>
  <dc:language>ru-RU</dc:language>
  <cp:keywords/>
  <dcterms:created xsi:type="dcterms:W3CDTF">2023-12-09T19:33:56Z</dcterms:created>
  <dcterms:modified xsi:type="dcterms:W3CDTF">2023-12-09T19:33:56Z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