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Liberation Sans" w:hAnsi="Liberation Sans" w:eastAsia="Liberation Sans"/>
          <w:b/>
          <w:color w:val="141414"/>
          <w:sz w:val="56"/>
        </w:rPr>
        <w:t>LEGION CLUB</w:t>
      </w:r>
    </w:p>
    <w:p>
      <w:pPr>
        <w:jc w:val="center"/>
      </w:pPr>
      <w:r>
        <w:rPr>
          <w:rFonts w:ascii="Liberation Sans" w:hAnsi="Liberation Sans" w:eastAsia="Liberation Sans"/>
          <w:b/>
          <w:color w:val="3C3C3C"/>
          <w:sz w:val="32"/>
        </w:rPr>
        <w:t>Checklist para cerrar financiación, valoración e inversión</w:t>
      </w:r>
    </w:p>
    <w:p>
      <w:pPr>
        <w:jc w:val="center"/>
      </w:pPr>
      <w:r>
        <w:rPr>
          <w:rFonts w:ascii="Liberation Sans" w:hAnsi="Liberation Sans" w:eastAsia="Liberation Sans"/>
          <w:color w:val="5A5A5A"/>
          <w:sz w:val="20"/>
        </w:rPr>
        <w:t>CARO LEGION S.L. | Versión de trabajo v1 | 09/07/2026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2F2F2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80"/>
            </w:pPr>
            <w:r/>
            <w:r>
              <w:rPr>
                <w:rFonts w:ascii="Liberation Sans" w:hAnsi="Liberation Sans" w:eastAsia="Liberation Sans"/>
                <w:b/>
                <w:color w:val="1F1F1F"/>
                <w:sz w:val="20"/>
              </w:rPr>
              <w:t>Objetivo del documento</w:t>
            </w:r>
          </w:p>
          <w:p>
            <w:pPr>
              <w:spacing w:after="0"/>
            </w:pPr>
            <w:r>
              <w:rPr>
                <w:rFonts w:ascii="Liberation Sans" w:hAnsi="Liberation Sans" w:eastAsia="Liberation Sans"/>
                <w:sz w:val="18"/>
              </w:rPr>
              <w:t>Ordenar todo lo que falta para convertir el modelo financiero y el dossier de LEGION en un paquete profesional para prestamistas e inversores. Este documento sirve como checklist interno antes de enviar información sensible a terceros.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04"/>
            <w:shd w:fill="1F1F1F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/>
                <w:color w:val="FFFFFF"/>
                <w:sz w:val="18"/>
              </w:rPr>
              <w:t>Decisión clave</w:t>
            </w:r>
          </w:p>
        </w:tc>
        <w:tc>
          <w:tcPr>
            <w:tcW w:type="dxa" w:w="8208"/>
            <w:shd w:fill="1F1F1F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/>
                <w:color w:val="FFFFFF"/>
                <w:sz w:val="18"/>
              </w:rPr>
              <w:t>Recomendación inicial</w:t>
            </w:r>
          </w:p>
        </w:tc>
      </w:tr>
      <w:tr>
        <w:trPr>
          <w:cantSplit/>
        </w:trPr>
        <w:tc>
          <w:tcPr>
            <w:tcW w:type="dxa" w:w="230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Tipo de operación</w:t>
            </w:r>
          </w:p>
        </w:tc>
        <w:tc>
          <w:tcPr>
            <w:tcW w:type="dxa" w:w="820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Mezcla de deuda privada + posible inversor estratégico pequeño.</w:t>
            </w:r>
          </w:p>
        </w:tc>
      </w:tr>
      <w:tr>
        <w:trPr>
          <w:cantSplit/>
        </w:trPr>
        <w:tc>
          <w:tcPr>
            <w:tcW w:type="dxa" w:w="230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Importe mínimo</w:t>
            </w:r>
          </w:p>
        </w:tc>
        <w:tc>
          <w:tcPr>
            <w:tcW w:type="dxa" w:w="820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250.000 EUR, solo para cubrir la inversión pendiente.</w:t>
            </w:r>
          </w:p>
        </w:tc>
      </w:tr>
      <w:tr>
        <w:trPr>
          <w:cantSplit/>
        </w:trPr>
        <w:tc>
          <w:tcPr>
            <w:tcW w:type="dxa" w:w="230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Importe recomendado</w:t>
            </w:r>
          </w:p>
        </w:tc>
        <w:tc>
          <w:tcPr>
            <w:tcW w:type="dxa" w:w="820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✓ DECISIÓN (9 jul 2026): 310.000 €, incluyendo tesorería inicial y margen de seguridad.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230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Importe fuerte</w:t>
            </w:r>
          </w:p>
        </w:tc>
        <w:tc>
          <w:tcPr>
            <w:tcW w:type="dxa" w:w="820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350.000 EUR, si se quiere abrir con mayor colchón financiero.</w:t>
            </w:r>
          </w:p>
        </w:tc>
      </w:tr>
      <w:tr>
        <w:trPr>
          <w:cantSplit/>
        </w:trPr>
        <w:tc>
          <w:tcPr>
            <w:tcW w:type="dxa" w:w="230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Capital a vender ahora</w:t>
            </w:r>
          </w:p>
        </w:tc>
        <w:tc>
          <w:tcPr>
            <w:tcW w:type="dxa" w:w="820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Evitar vender demasiado porcentaje antes de abrir; mejor inversor de 50.000-100.000 EUR o convertible por hitos.</w:t>
            </w:r>
          </w:p>
        </w:tc>
      </w:tr>
    </w:tbl>
    <w:p>
      <w:pPr>
        <w:jc w:val="center"/>
      </w:pPr>
      <w:r>
        <w:rPr>
          <w:rFonts w:ascii="Liberation Sans" w:hAnsi="Liberation Sans" w:eastAsia="Liberation Sans"/>
          <w:i/>
          <w:color w:val="646464"/>
          <w:sz w:val="17"/>
        </w:rPr>
        <w:t>Documento de uso interno. Las cifras deben validarse con datos reales antes de enviarlo a inversores, prestamistas o asesores externos.</w:t>
      </w:r>
    </w:p>
    <w:p>
      <w:r>
        <w:br w:type="page"/>
      </w:r>
    </w:p>
    <w:p>
      <w:pPr>
        <w:pStyle w:val="Heading1"/>
      </w:pPr>
      <w:r>
        <w:t>1. Qué falta para cerrar el paquete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EDEDED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80"/>
            </w:pPr>
            <w:r/>
            <w:r>
              <w:rPr>
                <w:rFonts w:ascii="Liberation Sans" w:hAnsi="Liberation Sans" w:eastAsia="Liberation Sans"/>
                <w:b/>
                <w:color w:val="1F1F1F"/>
                <w:sz w:val="20"/>
              </w:rPr>
              <w:t>Resumen ejecutivo</w:t>
            </w:r>
          </w:p>
          <w:p>
            <w:pPr>
              <w:spacing w:after="0"/>
            </w:pPr>
            <w:r>
              <w:rPr>
                <w:rFonts w:ascii="Liberation Sans" w:hAnsi="Liberation Sans" w:eastAsia="Liberation Sans"/>
                <w:sz w:val="18"/>
              </w:rPr>
              <w:t>Ahora mismo ya existe una base de modelo financiero y dossier. Lo que falta es cerrar los datos reales, definir la estructura de la operación y preparar una carpeta documental que aguante una revisión seria.</w:t>
            </w:r>
          </w:p>
        </w:tc>
      </w:tr>
    </w:tbl>
    <w:p>
      <w:pPr>
        <w:pStyle w:val="Heading2"/>
      </w:pPr>
      <w:r>
        <w:t>1.1. Cifras reales para cerrar el modelo</w:t>
      </w:r>
    </w:p>
    <w:p>
      <w:pPr>
        <w:spacing w:after="100"/>
      </w:pPr>
      <w:r>
        <w:rPr>
          <w:rFonts w:ascii="Liberation Sans" w:hAnsi="Liberation Sans" w:eastAsia="Liberation Sans"/>
          <w:sz w:val="20"/>
        </w:rPr>
        <w:t>El primer bloque consiste en validar cuánto dinero se ha invertido ya en LEGION y cuánto queda pendiente hasta apertura. Esta información alimenta el Excel financiero, la valoración y el discurso frente a terceros.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592"/>
            <w:shd w:fill="1F1F1F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/>
                <w:color w:val="FFFFFF"/>
                <w:sz w:val="18"/>
              </w:rPr>
              <w:t>Dato necesario</w:t>
            </w:r>
          </w:p>
        </w:tc>
        <w:tc>
          <w:tcPr>
            <w:tcW w:type="dxa" w:w="6048"/>
            <w:shd w:fill="1F1F1F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/>
                <w:color w:val="FFFFFF"/>
                <w:sz w:val="18"/>
              </w:rPr>
              <w:t>Qué debe incluir</w:t>
            </w:r>
          </w:p>
        </w:tc>
        <w:tc>
          <w:tcPr>
            <w:tcW w:type="dxa" w:w="1872"/>
            <w:shd w:fill="1F1F1F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/>
                <w:color w:val="FFFFFF"/>
                <w:sz w:val="18"/>
              </w:rPr>
              <w:t>Estado</w:t>
            </w:r>
          </w:p>
        </w:tc>
      </w:tr>
      <w:tr>
        <w:trPr>
          <w:cantSplit/>
        </w:trPr>
        <w:tc>
          <w:tcPr>
            <w:tcW w:type="dxa" w:w="259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Inversión ya realizada</w:t>
            </w:r>
          </w:p>
        </w:tc>
        <w:tc>
          <w:tcPr>
            <w:tcW w:type="dxa" w:w="604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Arras, nave, obra pagada, maquinaria pagada o señalizada, suelo, pintura, licencias, proyectos técnicos, marketing, app, web, software y honorarios.</w:t>
            </w:r>
          </w:p>
        </w:tc>
        <w:tc>
          <w:tcPr>
            <w:tcW w:type="dxa" w:w="187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Validado: 180.750 € ejecutados y pagados (control de obra + banco).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259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Inversión pendiente</w:t>
            </w:r>
          </w:p>
        </w:tc>
        <w:tc>
          <w:tcPr>
            <w:tcW w:type="dxa" w:w="604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Todo lo que falta pagar para poder abrir en condiciones reales.</w:t>
            </w:r>
          </w:p>
        </w:tc>
        <w:tc>
          <w:tcPr>
            <w:tcW w:type="dxa" w:w="187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Validado: 308.720 € pendientes de pago (ver tabla 1.2).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259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Tesorería inicial</w:t>
            </w:r>
          </w:p>
        </w:tc>
        <w:tc>
          <w:tcPr>
            <w:tcW w:type="dxa" w:w="604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Colchón de caja para aguantar los primeros meses si la captación de socios es más lenta.</w:t>
            </w:r>
          </w:p>
        </w:tc>
        <w:tc>
          <w:tcPr>
            <w:tcW w:type="dxa" w:w="187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Pendiente de decidir: el presupuesto actual NO incluye colchón de caja (se retiró a petición del promotor). A confirmar si se añade.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259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Calendario de pagos</w:t>
            </w:r>
          </w:p>
        </w:tc>
        <w:tc>
          <w:tcPr>
            <w:tcW w:type="dxa" w:w="604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Fechas de vencimiento de proveedores, maquinaria, obra, licencias y obligaciones clave.</w:t>
            </w:r>
          </w:p>
        </w:tc>
        <w:tc>
          <w:tcPr>
            <w:tcW w:type="dxa" w:w="187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Pendiente de ordenar: fechas de vencimiento aún no recopiladas en un calendario único.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</w:tr>
    </w:tbl>
    <w:p>
      <w:r>
        <w:br w:type="page"/>
      </w:r>
    </w:p>
    <w:p>
      <w:pPr>
        <w:pStyle w:val="Heading2"/>
      </w:pPr>
      <w:r>
        <w:t>1.2. Inversión pendiente hasta apertura</w:t>
      </w:r>
    </w:p>
    <w:p>
      <w:pPr>
        <w:spacing w:after="100"/>
      </w:pPr>
      <w:r>
        <w:rPr>
          <w:rFonts w:ascii="Liberation Sans" w:hAnsi="Liberation Sans" w:eastAsia="Liberation Sans"/>
          <w:sz w:val="20"/>
        </w:rPr>
        <w:t>Esta tabla debe completarse con importes reales y soporte documental. Es la base para justificar cuánto dinero se pide.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3024"/>
            <w:shd w:fill="1F1F1F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/>
                <w:color w:val="FFFFFF"/>
                <w:sz w:val="18"/>
              </w:rPr>
              <w:t>Concepto</w:t>
            </w:r>
          </w:p>
        </w:tc>
        <w:tc>
          <w:tcPr>
            <w:tcW w:type="dxa" w:w="2016"/>
            <w:shd w:fill="1F1F1F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/>
                <w:color w:val="FFFFFF"/>
                <w:sz w:val="18"/>
              </w:rPr>
              <w:t>Importe pendiente</w:t>
            </w:r>
          </w:p>
        </w:tc>
        <w:tc>
          <w:tcPr>
            <w:tcW w:type="dxa" w:w="3456"/>
            <w:shd w:fill="1F1F1F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/>
                <w:color w:val="FFFFFF"/>
                <w:sz w:val="18"/>
              </w:rPr>
              <w:t>Soporte documental</w:t>
            </w:r>
          </w:p>
        </w:tc>
        <w:tc>
          <w:tcPr>
            <w:tcW w:type="dxa" w:w="1584"/>
            <w:shd w:fill="1F1F1F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/>
                <w:color w:val="FFFFFF"/>
                <w:sz w:val="18"/>
              </w:rPr>
              <w:t>Estado</w:t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Obra / reforma (tabiques, pintura, techo RF)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201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30.368,31 €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345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Presupuesto Luis Miguel + presupuesto pintura + estimación techo RF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158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Validado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Climatización, agua y aire (Carulla)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201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77.740,09 €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345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Presupuesto Carulla (instalación completa)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158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Validado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Vestuarios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201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39.664,45 €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345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Presupuesto Bellum (taquillas/cabinas) + Obramat + espejos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158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Validado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Suelo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201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20.570,00 €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345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Presupuesto pavimento gimnasio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158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Validado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Maquinaria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201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48.788,66 €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345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IVA importación maquinaria + transporte/aduana (estimado)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158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Validado (aduana estimada)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Electricidad / iluminación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201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47.863,32 €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345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Presupuesto Patrick (eléctrica) + detección incendios + contadores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158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Validado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Accesos y rótulos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201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43.724,68 €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345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Tornos + puerta QR + elevador + rótulo LEGION + lonas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158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Validado (elevador y puerta QR son estimación)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Licencias / técnicos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201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A confirmar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345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Proyecto técnico / licencia de actividad / tasas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158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Sin partida específica en el control actual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Marketing apertura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201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A confirmar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345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Plan de campaña de lanzamiento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158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Sin partida específica; distinto del marketing mensual recurrente (2.000 €/mes ya en el modelo)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Tesorería inicial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201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0 € (a confirmar)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345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Previsión de caja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158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Colchón retirado del presupuesto; a decidir si se reintroduce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Otros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201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0 €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345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—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158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Todo el pendiente está categorizado arriba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2CC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80"/>
            </w:pPr>
            <w:r/>
            <w:r>
              <w:rPr>
                <w:rFonts w:ascii="Liberation Sans" w:hAnsi="Liberation Sans" w:eastAsia="Liberation Sans"/>
                <w:b/>
                <w:color w:val="1F1F1F"/>
                <w:sz w:val="20"/>
              </w:rPr>
              <w:t>Mensaje para el dossier</w:t>
            </w:r>
          </w:p>
          <w:p>
            <w:pPr>
              <w:spacing w:after="0"/>
            </w:pPr>
            <w:r>
              <w:rPr>
                <w:rFonts w:ascii="Liberation Sans" w:hAnsi="Liberation Sans" w:eastAsia="Liberation Sans"/>
                <w:sz w:val="18"/>
              </w:rPr>
              <w:t>No conviene presentar solo la cifra exacta de inversión pendiente si deja la caja a cero. La propuesta debe incluir un margen de seguridad para que el proyecto no dependa de una apertura perfecta.</w:t>
            </w:r>
          </w:p>
        </w:tc>
      </w:tr>
    </w:tbl>
    <w:p>
      <w:r>
        <w:br w:type="page"/>
      </w:r>
    </w:p>
    <w:p>
      <w:pPr>
        <w:pStyle w:val="Heading2"/>
      </w:pPr>
      <w:r>
        <w:t>1.3. Costes mensuales reales</w:t>
      </w:r>
    </w:p>
    <w:p>
      <w:pPr>
        <w:spacing w:after="100"/>
      </w:pPr>
      <w:r>
        <w:rPr>
          <w:rFonts w:ascii="Liberation Sans" w:hAnsi="Liberation Sans" w:eastAsia="Liberation Sans"/>
          <w:sz w:val="20"/>
        </w:rPr>
        <w:t>Este bloque es crítico para prestamistas, porque permite calcular el punto muerto y demostrar capacidad de devolución.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3744"/>
            <w:shd w:fill="1F1F1F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/>
                <w:color w:val="FFFFFF"/>
                <w:sz w:val="18"/>
              </w:rPr>
              <w:t>Gasto fijo mensual</w:t>
            </w:r>
          </w:p>
        </w:tc>
        <w:tc>
          <w:tcPr>
            <w:tcW w:type="dxa" w:w="2160"/>
            <w:shd w:fill="1F1F1F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/>
                <w:color w:val="FFFFFF"/>
                <w:sz w:val="18"/>
              </w:rPr>
              <w:t>Importe estimado</w:t>
            </w:r>
          </w:p>
        </w:tc>
        <w:tc>
          <w:tcPr>
            <w:tcW w:type="dxa" w:w="4464"/>
            <w:shd w:fill="1F1F1F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/>
                <w:color w:val="FFFFFF"/>
                <w:sz w:val="18"/>
              </w:rPr>
              <w:t>Dato a confirmar</w:t>
            </w:r>
          </w:p>
        </w:tc>
      </w:tr>
      <w:tr>
        <w:trPr>
          <w:cantSplit/>
        </w:trPr>
        <w:tc>
          <w:tcPr>
            <w:tcW w:type="dxa" w:w="374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Nave / leasing / alquiler</w:t>
            </w:r>
          </w:p>
        </w:tc>
        <w:tc>
          <w:tcPr>
            <w:tcW w:type="dxa" w:w="21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2.600 €/mes + IVA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446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Real (contrato)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374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Renting maquinaria</w:t>
            </w:r>
          </w:p>
        </w:tc>
        <w:tc>
          <w:tcPr>
            <w:tcW w:type="dxa" w:w="21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0 €/mes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446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Real: maquinaria comprada, no hay renting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374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Luz</w:t>
            </w:r>
          </w:p>
        </w:tc>
        <w:tc>
          <w:tcPr>
            <w:tcW w:type="dxa" w:w="21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A confirmar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446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Sin factura/comparable real todavía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374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Agua</w:t>
            </w:r>
          </w:p>
        </w:tc>
        <w:tc>
          <w:tcPr>
            <w:tcW w:type="dxa" w:w="21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A confirmar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446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Sin factura/comparable real todavía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374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Internet</w:t>
            </w:r>
          </w:p>
        </w:tc>
        <w:tc>
          <w:tcPr>
            <w:tcW w:type="dxa" w:w="21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A confirmar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446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Sin dato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374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App / KeyGo</w:t>
            </w:r>
          </w:p>
        </w:tc>
        <w:tc>
          <w:tcPr>
            <w:tcW w:type="dxa" w:w="21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A confirmar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446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¿Qué software de gestión se usará?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374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Limpieza</w:t>
            </w:r>
          </w:p>
        </w:tc>
        <w:tc>
          <w:tcPr>
            <w:tcW w:type="dxa" w:w="21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A confirmar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446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Se externaliza; falta presupuesto del proveedor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374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Seguro</w:t>
            </w:r>
          </w:p>
        </w:tc>
        <w:tc>
          <w:tcPr>
            <w:tcW w:type="dxa" w:w="21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A confirmar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446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Sin póliza/oferta todavía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374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Gestoría</w:t>
            </w:r>
          </w:p>
        </w:tc>
        <w:tc>
          <w:tcPr>
            <w:tcW w:type="dxa" w:w="21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A confirmar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446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Sin presupuesto todavía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374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Mantenimiento</w:t>
            </w:r>
          </w:p>
        </w:tc>
        <w:tc>
          <w:tcPr>
            <w:tcW w:type="dxa" w:w="21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A confirmar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446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Sin dato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374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Marketing mensual</w:t>
            </w:r>
          </w:p>
        </w:tc>
        <w:tc>
          <w:tcPr>
            <w:tcW w:type="dxa" w:w="21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2.000 €/mes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446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Escenario Base del modelo financiero (ajustable)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374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Alarma / cámaras / control acceso</w:t>
            </w:r>
          </w:p>
        </w:tc>
        <w:tc>
          <w:tcPr>
            <w:tcW w:type="dxa" w:w="21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A confirmar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446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Coste recurrente del sistema (no la instalación, ya presupuestada en tornos/QR)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374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Personal</w:t>
            </w:r>
          </w:p>
        </w:tc>
        <w:tc>
          <w:tcPr>
            <w:tcW w:type="dxa" w:w="21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5.000 € (meses 1-12) / 6.500 € (13-24) / 7.900 € (25-36)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446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Real: equipo mínimo (Sergi + 2). Ya usado en el modelo financiero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374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Otros</w:t>
            </w:r>
          </w:p>
        </w:tc>
        <w:tc>
          <w:tcPr>
            <w:tcW w:type="dxa" w:w="21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0 €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446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Sin partida adicional identificada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</w:tr>
    </w:tbl>
    <w:p>
      <w:pPr>
        <w:spacing w:after="100"/>
      </w:pPr>
      <w:r>
        <w:rPr>
          <w:rFonts w:ascii="Liberation Sans" w:hAnsi="Liberation Sans" w:eastAsia="Liberation Sans"/>
          <w:sz w:val="20"/>
        </w:rPr>
        <w:t>Referencia de cálculo: si la cuota media fueran 45 EUR/mes y el coste fijo real fuera 12.000 EUR/mes, el punto muerto básico sería aproximadamente 267 socios antes de ajustes por IVA, comisiones, impagos y promociones.</w:t>
      </w:r>
    </w:p>
    <w:p>
      <w:pPr>
        <w:pStyle w:val="Heading2"/>
      </w:pPr>
      <w:r>
        <w:t>1.4. Datos comerciales reales</w:t>
      </w:r>
    </w:p>
    <w:p>
      <w:pPr>
        <w:spacing w:after="100"/>
      </w:pPr>
      <w:r>
        <w:rPr>
          <w:rFonts w:ascii="Liberation Sans" w:hAnsi="Liberation Sans" w:eastAsia="Liberation Sans"/>
          <w:sz w:val="20"/>
        </w:rPr>
        <w:t>Estos datos son muy importantes para inversores, porque convierten el proyecto de una idea a una oportunidad con demanda demostrada.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3456"/>
            <w:shd w:fill="1F1F1F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/>
                <w:color w:val="FFFFFF"/>
                <w:sz w:val="18"/>
              </w:rPr>
              <w:t>Métrica comercial</w:t>
            </w:r>
          </w:p>
        </w:tc>
        <w:tc>
          <w:tcPr>
            <w:tcW w:type="dxa" w:w="2016"/>
            <w:shd w:fill="1F1F1F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/>
                <w:color w:val="FFFFFF"/>
                <w:sz w:val="18"/>
              </w:rPr>
              <w:t>Dato a completar</w:t>
            </w:r>
          </w:p>
        </w:tc>
        <w:tc>
          <w:tcPr>
            <w:tcW w:type="dxa" w:w="4896"/>
            <w:shd w:fill="1F1F1F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/>
                <w:color w:val="FFFFFF"/>
                <w:sz w:val="18"/>
              </w:rPr>
              <w:t>Por qué importa</w:t>
            </w:r>
          </w:p>
        </w:tc>
      </w:tr>
      <w:tr>
        <w:trPr>
          <w:cantSplit/>
        </w:trPr>
        <w:tc>
          <w:tcPr>
            <w:tcW w:type="dxa" w:w="345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Descargas de la app</w:t>
            </w:r>
          </w:p>
        </w:tc>
        <w:tc>
          <w:tcPr>
            <w:tcW w:type="dxa" w:w="201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A confirmar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489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Demuestra interés inicial.</w:t>
            </w:r>
          </w:p>
        </w:tc>
      </w:tr>
      <w:tr>
        <w:trPr>
          <w:cantSplit/>
        </w:trPr>
        <w:tc>
          <w:tcPr>
            <w:tcW w:type="dxa" w:w="345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Tarjetas registradas</w:t>
            </w:r>
          </w:p>
        </w:tc>
        <w:tc>
          <w:tcPr>
            <w:tcW w:type="dxa" w:w="201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A confirmar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489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Mide intención real de compra.</w:t>
            </w:r>
          </w:p>
        </w:tc>
      </w:tr>
      <w:tr>
        <w:trPr>
          <w:cantSplit/>
        </w:trPr>
        <w:tc>
          <w:tcPr>
            <w:tcW w:type="dxa" w:w="345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Pagos de 1 céntimo / preinscritos</w:t>
            </w:r>
          </w:p>
        </w:tc>
        <w:tc>
          <w:tcPr>
            <w:tcW w:type="dxa" w:w="201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230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489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Demuestra conversión efectiva.</w:t>
            </w:r>
          </w:p>
        </w:tc>
      </w:tr>
      <w:tr>
        <w:trPr>
          <w:cantSplit/>
        </w:trPr>
        <w:tc>
          <w:tcPr>
            <w:tcW w:type="dxa" w:w="345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Seguidores locales en Instagram</w:t>
            </w:r>
          </w:p>
        </w:tc>
        <w:tc>
          <w:tcPr>
            <w:tcW w:type="dxa" w:w="201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A confirmar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489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Base de comunidad y captación.</w:t>
            </w:r>
          </w:p>
        </w:tc>
      </w:tr>
      <w:tr>
        <w:trPr>
          <w:cantSplit/>
        </w:trPr>
        <w:tc>
          <w:tcPr>
            <w:tcW w:type="dxa" w:w="345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Visualizaciones de reels</w:t>
            </w:r>
          </w:p>
        </w:tc>
        <w:tc>
          <w:tcPr>
            <w:tcW w:type="dxa" w:w="201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A confirmar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489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Tracción orgánica y alcance.</w:t>
            </w:r>
          </w:p>
        </w:tc>
      </w:tr>
      <w:tr>
        <w:trPr>
          <w:cantSplit/>
        </w:trPr>
        <w:tc>
          <w:tcPr>
            <w:tcW w:type="dxa" w:w="345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Contactos por WhatsApp</w:t>
            </w:r>
          </w:p>
        </w:tc>
        <w:tc>
          <w:tcPr>
            <w:tcW w:type="dxa" w:w="201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A confirmar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489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Demanda directa.</w:t>
            </w:r>
          </w:p>
        </w:tc>
      </w:tr>
      <w:tr>
        <w:trPr>
          <w:cantSplit/>
        </w:trPr>
        <w:tc>
          <w:tcPr>
            <w:tcW w:type="dxa" w:w="345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Lista de espera</w:t>
            </w:r>
          </w:p>
        </w:tc>
        <w:tc>
          <w:tcPr>
            <w:tcW w:type="dxa" w:w="201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A confirmar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489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Potencial de altas futuras.</w:t>
            </w:r>
          </w:p>
        </w:tc>
      </w:tr>
      <w:tr>
        <w:trPr>
          <w:cantSplit/>
        </w:trPr>
        <w:tc>
          <w:tcPr>
            <w:tcW w:type="dxa" w:w="345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Colaboraciones cerradas</w:t>
            </w:r>
          </w:p>
        </w:tc>
        <w:tc>
          <w:tcPr>
            <w:tcW w:type="dxa" w:w="201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A confirmar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  <w:tc>
          <w:tcPr>
            <w:tcW w:type="dxa" w:w="489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Capacidad comercial y posicionamiento.</w:t>
            </w:r>
          </w:p>
        </w:tc>
      </w:tr>
    </w:tbl>
    <w:p>
      <w:pPr>
        <w:pStyle w:val="Heading1"/>
      </w:pPr>
      <w:r>
        <w:t>2. Estructura de la operación</w:t>
      </w:r>
    </w:p>
    <w:p>
      <w:pPr>
        <w:spacing w:after="100"/>
      </w:pPr>
      <w:r>
        <w:rPr>
          <w:rFonts w:ascii="Liberation Sans" w:hAnsi="Liberation Sans" w:eastAsia="Liberation Sans"/>
          <w:sz w:val="20"/>
        </w:rPr>
        <w:t>Hay que separar muy bien deuda, inversión en capital y préstamo convertible. Cada opción tiene una lógica diferente y no debe mezclarse sin una propuesta clara.</w:t>
      </w:r>
    </w:p>
    <w:p>
      <w:pPr>
        <w:pStyle w:val="Heading2"/>
      </w:pPr>
      <w:r>
        <w:t>2.1. Préstamo privado</w:t>
      </w:r>
    </w:p>
    <w:p>
      <w:pPr>
        <w:spacing w:after="100"/>
      </w:pPr>
      <w:r>
        <w:rPr>
          <w:rFonts w:ascii="Liberation Sans" w:hAnsi="Liberation Sans" w:eastAsia="Liberation Sans"/>
          <w:sz w:val="20"/>
        </w:rPr>
        <w:t>El prestamista se centra en la capacidad de devolución. La valoración de la sociedad importa menos que el flujo de caja, las garantías y el calendario de pagos.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168"/>
            <w:shd w:fill="1F1F1F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/>
                <w:color w:val="FFFFFF"/>
                <w:sz w:val="18"/>
              </w:rPr>
              <w:t>Elemento</w:t>
            </w:r>
          </w:p>
        </w:tc>
        <w:tc>
          <w:tcPr>
            <w:tcW w:type="dxa" w:w="7200"/>
            <w:shd w:fill="1F1F1F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/>
                <w:color w:val="FFFFFF"/>
                <w:sz w:val="18"/>
              </w:rPr>
              <w:t>Decisión pendiente</w:t>
            </w:r>
          </w:p>
        </w:tc>
      </w:tr>
      <w:tr>
        <w:trPr>
          <w:cantSplit/>
        </w:trPr>
        <w:tc>
          <w:tcPr>
            <w:tcW w:type="dxa" w:w="316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Importe solicitado</w:t>
            </w:r>
          </w:p>
        </w:tc>
        <w:tc>
          <w:tcPr>
            <w:tcW w:type="dxa" w:w="72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310.000 € — objetivo total de la operación (repartir entre préstamo y capital según lo que se cierre).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316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Tipo de interés</w:t>
            </w:r>
          </w:p>
        </w:tc>
        <w:tc>
          <w:tcPr>
            <w:tcW w:type="dxa" w:w="72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6% anual (ilustrativo, a pactar con el prestamista).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316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Plazo</w:t>
            </w:r>
          </w:p>
        </w:tc>
        <w:tc>
          <w:tcPr>
            <w:tcW w:type="dxa" w:w="72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7-10 años según importe final (ver escenarios en pl-inversores.html).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316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Carencia</w:t>
            </w:r>
          </w:p>
        </w:tc>
        <w:tc>
          <w:tcPr>
            <w:tcW w:type="dxa" w:w="72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12 meses.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316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Devolución mensual</w:t>
            </w:r>
          </w:p>
        </w:tc>
        <w:tc>
          <w:tcPr>
            <w:tcW w:type="dxa" w:w="72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Se calcula en el Excel financiero (hoja Caja_Deuda) y en pl-inversores.html.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316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Garantías</w:t>
            </w:r>
          </w:p>
        </w:tc>
        <w:tc>
          <w:tcPr>
            <w:tcW w:type="dxa" w:w="72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Aval SGR (Avalis de Catalunya) + la propia instalación/maquinaria + la sociedad. Sin garantía personal de los socios.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316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Orden de pago</w:t>
            </w:r>
          </w:p>
        </w:tc>
        <w:tc>
          <w:tcPr>
            <w:tcW w:type="dxa" w:w="72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A confirmar con el prestamista.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</w:tr>
    </w:tbl>
    <w:p>
      <w:pPr>
        <w:pStyle w:val="Heading2"/>
      </w:pPr>
      <w:r>
        <w:t>2.2. Inversor en capital</w:t>
      </w:r>
    </w:p>
    <w:p>
      <w:pPr>
        <w:spacing w:after="100"/>
      </w:pPr>
      <w:r>
        <w:rPr>
          <w:rFonts w:ascii="Liberation Sans" w:hAnsi="Liberation Sans" w:eastAsia="Liberation Sans"/>
          <w:sz w:val="20"/>
        </w:rPr>
        <w:t>El inversor compra un porcentaje de la sociedad. Aquí sí hace falta valoración pre-money, post-money y cap table.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168"/>
            <w:shd w:fill="1F1F1F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/>
                <w:color w:val="FFFFFF"/>
                <w:sz w:val="18"/>
              </w:rPr>
              <w:t>Elemento</w:t>
            </w:r>
          </w:p>
        </w:tc>
        <w:tc>
          <w:tcPr>
            <w:tcW w:type="dxa" w:w="7200"/>
            <w:shd w:fill="1F1F1F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/>
                <w:color w:val="FFFFFF"/>
                <w:sz w:val="18"/>
              </w:rPr>
              <w:t>Decisión pendiente</w:t>
            </w:r>
          </w:p>
        </w:tc>
      </w:tr>
      <w:tr>
        <w:trPr>
          <w:cantSplit/>
        </w:trPr>
        <w:tc>
          <w:tcPr>
            <w:tcW w:type="dxa" w:w="316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Ticket recomendado</w:t>
            </w:r>
          </w:p>
        </w:tc>
        <w:tc>
          <w:tcPr>
            <w:tcW w:type="dxa" w:w="72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50.000-100.000 EUR si es estratégico.</w:t>
            </w:r>
          </w:p>
        </w:tc>
      </w:tr>
      <w:tr>
        <w:trPr>
          <w:cantSplit/>
        </w:trPr>
        <w:tc>
          <w:tcPr>
            <w:tcW w:type="dxa" w:w="316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Valoración pre-money</w:t>
            </w:r>
          </w:p>
        </w:tc>
        <w:tc>
          <w:tcPr>
            <w:tcW w:type="dxa" w:w="72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Definir con escenarios conservador, base y optimista.</w:t>
            </w:r>
          </w:p>
        </w:tc>
      </w:tr>
      <w:tr>
        <w:trPr>
          <w:cantSplit/>
        </w:trPr>
        <w:tc>
          <w:tcPr>
            <w:tcW w:type="dxa" w:w="316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Porcentaje ofrecido</w:t>
            </w:r>
          </w:p>
        </w:tc>
        <w:tc>
          <w:tcPr>
            <w:tcW w:type="dxa" w:w="72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Calcular según inversión y valoración post-money.</w:t>
            </w:r>
          </w:p>
        </w:tc>
      </w:tr>
      <w:tr>
        <w:trPr>
          <w:cantSplit/>
        </w:trPr>
        <w:tc>
          <w:tcPr>
            <w:tcW w:type="dxa" w:w="316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Derechos de información</w:t>
            </w:r>
          </w:p>
        </w:tc>
        <w:tc>
          <w:tcPr>
            <w:tcW w:type="dxa" w:w="72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Definir reportes mensuales o trimestrales.</w:t>
            </w:r>
          </w:p>
        </w:tc>
      </w:tr>
      <w:tr>
        <w:trPr>
          <w:cantSplit/>
        </w:trPr>
        <w:tc>
          <w:tcPr>
            <w:tcW w:type="dxa" w:w="316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Derechos políticos</w:t>
            </w:r>
          </w:p>
        </w:tc>
        <w:tc>
          <w:tcPr>
            <w:tcW w:type="dxa" w:w="72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Definir si tendrá voto, veto o solo derechos económicos.</w:t>
            </w:r>
          </w:p>
        </w:tc>
      </w:tr>
      <w:tr>
        <w:trPr>
          <w:cantSplit/>
        </w:trPr>
        <w:tc>
          <w:tcPr>
            <w:tcW w:type="dxa" w:w="316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Salida futura</w:t>
            </w:r>
          </w:p>
        </w:tc>
        <w:tc>
          <w:tcPr>
            <w:tcW w:type="dxa" w:w="72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Definir opción de recompra, venta o condiciones de liquidez.</w:t>
            </w:r>
          </w:p>
        </w:tc>
      </w:tr>
      <w:tr>
        <w:trPr>
          <w:cantSplit/>
        </w:trPr>
        <w:tc>
          <w:tcPr>
            <w:tcW w:type="dxa" w:w="316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Pacto de socios</w:t>
            </w:r>
          </w:p>
        </w:tc>
        <w:tc>
          <w:tcPr>
            <w:tcW w:type="dxa" w:w="72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Necesario si entra en capital.</w:t>
            </w:r>
          </w:p>
        </w:tc>
      </w:tr>
    </w:tbl>
    <w:p>
      <w:pPr>
        <w:pStyle w:val="Heading2"/>
      </w:pPr>
      <w:r>
        <w:t>2.3. Préstamo convertible o participativo</w:t>
      </w:r>
    </w:p>
    <w:p>
      <w:pPr>
        <w:spacing w:after="100"/>
      </w:pPr>
      <w:r>
        <w:rPr>
          <w:rFonts w:ascii="Liberation Sans" w:hAnsi="Liberation Sans" w:eastAsia="Liberation Sans"/>
          <w:sz w:val="20"/>
        </w:rPr>
        <w:t>Es una solución intermedia cuando no se quiere cerrar una valoración definitiva antes de abrir. El dinero entra como préstamo y puede convertirse en participaciones si se cumplen determinadas condiciones.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888"/>
            <w:shd w:fill="1F1F1F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/>
                <w:color w:val="FFFFFF"/>
                <w:sz w:val="18"/>
              </w:rPr>
              <w:t>Hito</w:t>
            </w:r>
          </w:p>
        </w:tc>
        <w:tc>
          <w:tcPr>
            <w:tcW w:type="dxa" w:w="6480"/>
            <w:shd w:fill="1F1F1F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/>
                <w:color w:val="FFFFFF"/>
                <w:sz w:val="18"/>
              </w:rPr>
              <w:t>Efecto posible</w:t>
            </w:r>
          </w:p>
        </w:tc>
      </w:tr>
      <w:tr>
        <w:trPr>
          <w:cantSplit/>
        </w:trPr>
        <w:tc>
          <w:tcPr>
            <w:tcW w:type="dxa" w:w="388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Antes de apertura</w:t>
            </w:r>
          </w:p>
        </w:tc>
        <w:tc>
          <w:tcPr>
            <w:tcW w:type="dxa" w:w="648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Conversión con valoración más baja por mayor riesgo.</w:t>
            </w:r>
          </w:p>
        </w:tc>
      </w:tr>
      <w:tr>
        <w:trPr>
          <w:cantSplit/>
        </w:trPr>
        <w:tc>
          <w:tcPr>
            <w:tcW w:type="dxa" w:w="388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Apertura con 250 socios</w:t>
            </w:r>
          </w:p>
        </w:tc>
        <w:tc>
          <w:tcPr>
            <w:tcW w:type="dxa" w:w="648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Conversión con valoración superior.</w:t>
            </w:r>
          </w:p>
        </w:tc>
      </w:tr>
      <w:tr>
        <w:trPr>
          <w:cantSplit/>
        </w:trPr>
        <w:tc>
          <w:tcPr>
            <w:tcW w:type="dxa" w:w="388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Apertura con 400 socios</w:t>
            </w:r>
          </w:p>
        </w:tc>
        <w:tc>
          <w:tcPr>
            <w:tcW w:type="dxa" w:w="648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Conversión con mejor valoración para el promotor.</w:t>
            </w:r>
          </w:p>
        </w:tc>
      </w:tr>
      <w:tr>
        <w:trPr>
          <w:cantSplit/>
        </w:trPr>
        <w:tc>
          <w:tcPr>
            <w:tcW w:type="dxa" w:w="388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500-600 socios y EBITDA positivo</w:t>
            </w:r>
          </w:p>
        </w:tc>
        <w:tc>
          <w:tcPr>
            <w:tcW w:type="dxa" w:w="648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Valoración mucho más defendible.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D9EAD3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80"/>
            </w:pPr>
            <w:r/>
            <w:r>
              <w:rPr>
                <w:rFonts w:ascii="Liberation Sans" w:hAnsi="Liberation Sans" w:eastAsia="Liberation Sans"/>
                <w:b/>
                <w:color w:val="1F1F1F"/>
                <w:sz w:val="20"/>
              </w:rPr>
              <w:t>Recomendación estratégica</w:t>
            </w:r>
          </w:p>
          <w:p>
            <w:pPr>
              <w:spacing w:after="0"/>
            </w:pPr>
            <w:r>
              <w:rPr>
                <w:rFonts w:ascii="Liberation Sans" w:hAnsi="Liberation Sans" w:eastAsia="Liberation Sans"/>
                <w:sz w:val="18"/>
              </w:rPr>
              <w:t>No vender demasiado capital antes de abrir. Si el proyecto demuestra socios reales y caja positiva, la valoración será más defendible y la dilución será menor.</w:t>
            </w:r>
          </w:p>
        </w:tc>
      </w:tr>
    </w:tbl>
    <w:p>
      <w:pPr>
        <w:pStyle w:val="Heading1"/>
      </w:pPr>
      <w:r>
        <w:t>3. Carpeta documental para due diligence</w:t>
      </w:r>
    </w:p>
    <w:p>
      <w:pPr>
        <w:spacing w:after="100"/>
      </w:pPr>
      <w:r>
        <w:rPr>
          <w:rFonts w:ascii="Liberation Sans" w:hAnsi="Liberation Sans" w:eastAsia="Liberation Sans"/>
          <w:sz w:val="20"/>
        </w:rPr>
        <w:t>Antes de enviar el dossier a alguien serio, conviene preparar una carpeta ordenada. Esto transmite profesionalidad y evita improvisar cuando pidan documentos.</w:t>
      </w:r>
    </w:p>
    <w:p>
      <w:pPr>
        <w:pStyle w:val="Heading2"/>
      </w:pPr>
      <w:r>
        <w:t>3.1. Sociedad</w:t>
      </w:r>
    </w:p>
    <w:p>
      <w:pPr>
        <w:pStyle w:val="ListBullet"/>
        <w:spacing w:after="40"/>
      </w:pPr>
      <w:r>
        <w:rPr>
          <w:rFonts w:ascii="Liberation Sans" w:hAnsi="Liberation Sans" w:eastAsia="Liberation Sans"/>
          <w:sz w:val="19"/>
        </w:rPr>
        <w:t>Escritura de constitución de CARO LEGION S.L.</w:t>
      </w:r>
    </w:p>
    <w:p>
      <w:pPr>
        <w:pStyle w:val="ListBullet"/>
        <w:spacing w:after="40"/>
      </w:pPr>
      <w:r>
        <w:rPr>
          <w:rFonts w:ascii="Liberation Sans" w:hAnsi="Liberation Sans" w:eastAsia="Liberation Sans"/>
          <w:sz w:val="19"/>
        </w:rPr>
        <w:t>Estatutos sociales.</w:t>
      </w:r>
    </w:p>
    <w:p>
      <w:pPr>
        <w:pStyle w:val="ListBullet"/>
        <w:spacing w:after="40"/>
      </w:pPr>
      <w:r>
        <w:rPr>
          <w:rFonts w:ascii="Liberation Sans" w:hAnsi="Liberation Sans" w:eastAsia="Liberation Sans"/>
          <w:sz w:val="19"/>
        </w:rPr>
        <w:t>CIF.</w:t>
      </w:r>
    </w:p>
    <w:p>
      <w:pPr>
        <w:pStyle w:val="ListBullet"/>
        <w:spacing w:after="40"/>
      </w:pPr>
      <w:r>
        <w:rPr>
          <w:rFonts w:ascii="Liberation Sans" w:hAnsi="Liberation Sans" w:eastAsia="Liberation Sans"/>
          <w:sz w:val="19"/>
        </w:rPr>
        <w:t>Titularidad real.</w:t>
      </w:r>
    </w:p>
    <w:p>
      <w:pPr>
        <w:pStyle w:val="ListBullet"/>
        <w:spacing w:after="40"/>
      </w:pPr>
      <w:r>
        <w:rPr>
          <w:rFonts w:ascii="Liberation Sans" w:hAnsi="Liberation Sans" w:eastAsia="Liberation Sans"/>
          <w:sz w:val="19"/>
        </w:rPr>
        <w:t>Reparto actual de participaciones.</w:t>
      </w:r>
    </w:p>
    <w:p>
      <w:pPr>
        <w:pStyle w:val="ListBullet"/>
        <w:spacing w:after="40"/>
      </w:pPr>
      <w:r>
        <w:rPr>
          <w:rFonts w:ascii="Liberation Sans" w:hAnsi="Liberation Sans" w:eastAsia="Liberation Sans"/>
          <w:sz w:val="19"/>
        </w:rPr>
        <w:t>Acuerdo de socios autorizando financiación o inversión, si procede.</w:t>
      </w:r>
    </w:p>
    <w:p>
      <w:pPr>
        <w:pStyle w:val="Heading2"/>
      </w:pPr>
      <w:r>
        <w:t>3.2. Proyecto</w:t>
      </w:r>
    </w:p>
    <w:p>
      <w:pPr>
        <w:pStyle w:val="ListBullet"/>
        <w:spacing w:after="40"/>
      </w:pPr>
      <w:r>
        <w:rPr>
          <w:rFonts w:ascii="Liberation Sans" w:hAnsi="Liberation Sans" w:eastAsia="Liberation Sans"/>
          <w:sz w:val="19"/>
        </w:rPr>
        <w:t>Contrato o situación jurídica de la nave.</w:t>
      </w:r>
    </w:p>
    <w:p>
      <w:pPr>
        <w:pStyle w:val="ListBullet"/>
        <w:spacing w:after="40"/>
      </w:pPr>
      <w:r>
        <w:rPr>
          <w:rFonts w:ascii="Liberation Sans" w:hAnsi="Liberation Sans" w:eastAsia="Liberation Sans"/>
          <w:sz w:val="19"/>
        </w:rPr>
        <w:t>Presupuesto de obra.</w:t>
      </w:r>
    </w:p>
    <w:p>
      <w:pPr>
        <w:pStyle w:val="ListBullet"/>
        <w:spacing w:after="40"/>
      </w:pPr>
      <w:r>
        <w:rPr>
          <w:rFonts w:ascii="Liberation Sans" w:hAnsi="Liberation Sans" w:eastAsia="Liberation Sans"/>
          <w:sz w:val="19"/>
        </w:rPr>
        <w:t>Presupuesto de maquinaria.</w:t>
      </w:r>
    </w:p>
    <w:p>
      <w:pPr>
        <w:pStyle w:val="ListBullet"/>
        <w:spacing w:after="40"/>
      </w:pPr>
      <w:r>
        <w:rPr>
          <w:rFonts w:ascii="Liberation Sans" w:hAnsi="Liberation Sans" w:eastAsia="Liberation Sans"/>
          <w:sz w:val="19"/>
        </w:rPr>
        <w:t>Presupuesto de suelo.</w:t>
      </w:r>
    </w:p>
    <w:p>
      <w:pPr>
        <w:pStyle w:val="ListBullet"/>
        <w:spacing w:after="40"/>
      </w:pPr>
      <w:r>
        <w:rPr>
          <w:rFonts w:ascii="Liberation Sans" w:hAnsi="Liberation Sans" w:eastAsia="Liberation Sans"/>
          <w:sz w:val="19"/>
        </w:rPr>
        <w:t>Licencias, proyecto técnico o comunicaciones.</w:t>
      </w:r>
    </w:p>
    <w:p>
      <w:pPr>
        <w:pStyle w:val="ListBullet"/>
        <w:spacing w:after="40"/>
      </w:pPr>
      <w:r>
        <w:rPr>
          <w:rFonts w:ascii="Liberation Sans" w:hAnsi="Liberation Sans" w:eastAsia="Liberation Sans"/>
          <w:sz w:val="19"/>
        </w:rPr>
        <w:t>Seguro, si ya existe.</w:t>
      </w:r>
    </w:p>
    <w:p>
      <w:pPr>
        <w:pStyle w:val="ListBullet"/>
        <w:spacing w:after="40"/>
      </w:pPr>
      <w:r>
        <w:rPr>
          <w:rFonts w:ascii="Liberation Sans" w:hAnsi="Liberation Sans" w:eastAsia="Liberation Sans"/>
          <w:sz w:val="19"/>
        </w:rPr>
        <w:t>Contratos con proveedores clave.</w:t>
      </w:r>
    </w:p>
    <w:p>
      <w:pPr>
        <w:pStyle w:val="Heading2"/>
      </w:pPr>
      <w:r>
        <w:t>3.3. Financiero</w:t>
      </w:r>
    </w:p>
    <w:p>
      <w:pPr>
        <w:pStyle w:val="ListBullet"/>
        <w:spacing w:after="40"/>
      </w:pPr>
      <w:r>
        <w:rPr>
          <w:rFonts w:ascii="Liberation Sans" w:hAnsi="Liberation Sans" w:eastAsia="Liberation Sans"/>
          <w:sz w:val="19"/>
        </w:rPr>
        <w:t>Excel financiero actualizado.</w:t>
      </w:r>
    </w:p>
    <w:p>
      <w:pPr>
        <w:pStyle w:val="ListBullet"/>
        <w:spacing w:after="40"/>
      </w:pPr>
      <w:r>
        <w:rPr>
          <w:rFonts w:ascii="Liberation Sans" w:hAnsi="Liberation Sans" w:eastAsia="Liberation Sans"/>
          <w:sz w:val="19"/>
        </w:rPr>
        <w:t>Resumen ejecutivo.</w:t>
      </w:r>
    </w:p>
    <w:p>
      <w:pPr>
        <w:pStyle w:val="ListBullet"/>
        <w:spacing w:after="40"/>
      </w:pPr>
      <w:r>
        <w:rPr>
          <w:rFonts w:ascii="Liberation Sans" w:hAnsi="Liberation Sans" w:eastAsia="Liberation Sans"/>
          <w:sz w:val="19"/>
        </w:rPr>
        <w:t>Plan de negocio.</w:t>
      </w:r>
    </w:p>
    <w:p>
      <w:pPr>
        <w:pStyle w:val="ListBullet"/>
        <w:spacing w:after="40"/>
      </w:pPr>
      <w:r>
        <w:rPr>
          <w:rFonts w:ascii="Liberation Sans" w:hAnsi="Liberation Sans" w:eastAsia="Liberation Sans"/>
          <w:sz w:val="19"/>
        </w:rPr>
        <w:t>Valoración económica.</w:t>
      </w:r>
    </w:p>
    <w:p>
      <w:pPr>
        <w:pStyle w:val="ListBullet"/>
        <w:spacing w:after="40"/>
      </w:pPr>
      <w:r>
        <w:rPr>
          <w:rFonts w:ascii="Liberation Sans" w:hAnsi="Liberation Sans" w:eastAsia="Liberation Sans"/>
          <w:sz w:val="19"/>
        </w:rPr>
        <w:t>Cap table actual y futuro.</w:t>
      </w:r>
    </w:p>
    <w:p>
      <w:pPr>
        <w:pStyle w:val="ListBullet"/>
        <w:spacing w:after="40"/>
      </w:pPr>
      <w:r>
        <w:rPr>
          <w:rFonts w:ascii="Liberation Sans" w:hAnsi="Liberation Sans" w:eastAsia="Liberation Sans"/>
          <w:sz w:val="19"/>
        </w:rPr>
        <w:t>Uso de fondos.</w:t>
      </w:r>
    </w:p>
    <w:p>
      <w:pPr>
        <w:pStyle w:val="ListBullet"/>
        <w:spacing w:after="40"/>
      </w:pPr>
      <w:r>
        <w:rPr>
          <w:rFonts w:ascii="Liberation Sans" w:hAnsi="Liberation Sans" w:eastAsia="Liberation Sans"/>
          <w:sz w:val="19"/>
        </w:rPr>
        <w:t>Calendario de apertura.</w:t>
      </w:r>
    </w:p>
    <w:p>
      <w:pPr>
        <w:pStyle w:val="ListBullet"/>
        <w:spacing w:after="40"/>
      </w:pPr>
      <w:r>
        <w:rPr>
          <w:rFonts w:ascii="Liberation Sans" w:hAnsi="Liberation Sans" w:eastAsia="Liberation Sans"/>
          <w:sz w:val="19"/>
        </w:rPr>
        <w:t>Previsión de caja.</w:t>
      </w:r>
    </w:p>
    <w:p>
      <w:pPr>
        <w:pStyle w:val="Heading2"/>
      </w:pPr>
      <w:r>
        <w:t>3.4. Comercial</w:t>
      </w:r>
    </w:p>
    <w:p>
      <w:pPr>
        <w:pStyle w:val="ListBullet"/>
        <w:spacing w:after="40"/>
      </w:pPr>
      <w:r>
        <w:rPr>
          <w:rFonts w:ascii="Liberation Sans" w:hAnsi="Liberation Sans" w:eastAsia="Liberation Sans"/>
          <w:sz w:val="19"/>
        </w:rPr>
        <w:t>Métricas de app.</w:t>
      </w:r>
    </w:p>
    <w:p>
      <w:pPr>
        <w:pStyle w:val="ListBullet"/>
        <w:spacing w:after="40"/>
      </w:pPr>
      <w:r>
        <w:rPr>
          <w:rFonts w:ascii="Liberation Sans" w:hAnsi="Liberation Sans" w:eastAsia="Liberation Sans"/>
          <w:sz w:val="19"/>
        </w:rPr>
        <w:t>Métricas de Instagram.</w:t>
      </w:r>
    </w:p>
    <w:p>
      <w:pPr>
        <w:pStyle w:val="ListBullet"/>
        <w:spacing w:after="40"/>
      </w:pPr>
      <w:r>
        <w:rPr>
          <w:rFonts w:ascii="Liberation Sans" w:hAnsi="Liberation Sans" w:eastAsia="Liberation Sans"/>
          <w:sz w:val="19"/>
        </w:rPr>
        <w:t>Preinscripciones.</w:t>
      </w:r>
    </w:p>
    <w:p>
      <w:pPr>
        <w:pStyle w:val="ListBullet"/>
        <w:spacing w:after="40"/>
      </w:pPr>
      <w:r>
        <w:rPr>
          <w:rFonts w:ascii="Liberation Sans" w:hAnsi="Liberation Sans" w:eastAsia="Liberation Sans"/>
          <w:sz w:val="19"/>
        </w:rPr>
        <w:t>Campañas realizadas.</w:t>
      </w:r>
    </w:p>
    <w:p>
      <w:pPr>
        <w:pStyle w:val="ListBullet"/>
        <w:spacing w:after="40"/>
      </w:pPr>
      <w:r>
        <w:rPr>
          <w:rFonts w:ascii="Liberation Sans" w:hAnsi="Liberation Sans" w:eastAsia="Liberation Sans"/>
          <w:sz w:val="19"/>
        </w:rPr>
        <w:t>Pruebas de demanda.</w:t>
      </w:r>
    </w:p>
    <w:p>
      <w:pPr>
        <w:pStyle w:val="ListBullet"/>
        <w:spacing w:after="40"/>
      </w:pPr>
      <w:r>
        <w:rPr>
          <w:rFonts w:ascii="Liberation Sans" w:hAnsi="Liberation Sans" w:eastAsia="Liberation Sans"/>
          <w:sz w:val="19"/>
        </w:rPr>
        <w:t>Colaboraciones.</w:t>
      </w:r>
    </w:p>
    <w:p>
      <w:pPr>
        <w:pStyle w:val="Heading2"/>
      </w:pPr>
      <w:r>
        <w:t>3.5. Legal inversión</w:t>
      </w:r>
    </w:p>
    <w:p>
      <w:pPr>
        <w:pStyle w:val="ListBullet"/>
        <w:spacing w:after="40"/>
      </w:pPr>
      <w:r>
        <w:rPr>
          <w:rFonts w:ascii="Liberation Sans" w:hAnsi="Liberation Sans" w:eastAsia="Liberation Sans"/>
          <w:sz w:val="19"/>
        </w:rPr>
        <w:t>NDA o acuerdo de confidencialidad.</w:t>
      </w:r>
    </w:p>
    <w:p>
      <w:pPr>
        <w:pStyle w:val="ListBullet"/>
        <w:spacing w:after="40"/>
      </w:pPr>
      <w:r>
        <w:rPr>
          <w:rFonts w:ascii="Liberation Sans" w:hAnsi="Liberation Sans" w:eastAsia="Liberation Sans"/>
          <w:sz w:val="19"/>
        </w:rPr>
        <w:t>Term sheet para inversor.</w:t>
      </w:r>
    </w:p>
    <w:p>
      <w:pPr>
        <w:pStyle w:val="ListBullet"/>
        <w:spacing w:after="40"/>
      </w:pPr>
      <w:r>
        <w:rPr>
          <w:rFonts w:ascii="Liberation Sans" w:hAnsi="Liberation Sans" w:eastAsia="Liberation Sans"/>
          <w:sz w:val="19"/>
        </w:rPr>
        <w:t>Contrato de préstamo para prestamista.</w:t>
      </w:r>
    </w:p>
    <w:p>
      <w:pPr>
        <w:pStyle w:val="ListBullet"/>
        <w:spacing w:after="40"/>
      </w:pPr>
      <w:r>
        <w:rPr>
          <w:rFonts w:ascii="Liberation Sans" w:hAnsi="Liberation Sans" w:eastAsia="Liberation Sans"/>
          <w:sz w:val="19"/>
        </w:rPr>
        <w:t>Pacto de socios si entra alguien en capital.</w:t>
      </w:r>
    </w:p>
    <w:p>
      <w:pPr>
        <w:pStyle w:val="ListBullet"/>
        <w:spacing w:after="40"/>
      </w:pPr>
      <w:r>
        <w:rPr>
          <w:rFonts w:ascii="Liberation Sans" w:hAnsi="Liberation Sans" w:eastAsia="Liberation Sans"/>
          <w:sz w:val="19"/>
        </w:rPr>
        <w:t>Acuerdo de préstamo convertible si se usa esa vía.</w:t>
      </w:r>
    </w:p>
    <w:p>
      <w:pPr>
        <w:pStyle w:val="Heading1"/>
      </w:pPr>
      <w:r>
        <w:t>4. Plan de acción recomendado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008"/>
            <w:shd w:fill="1F1F1F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/>
                <w:color w:val="FFFFFF"/>
                <w:sz w:val="18"/>
              </w:rPr>
              <w:t>Orden</w:t>
            </w:r>
          </w:p>
        </w:tc>
        <w:tc>
          <w:tcPr>
            <w:tcW w:type="dxa" w:w="4896"/>
            <w:shd w:fill="1F1F1F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/>
                <w:color w:val="FFFFFF"/>
                <w:sz w:val="18"/>
              </w:rPr>
              <w:t>Acción</w:t>
            </w:r>
          </w:p>
        </w:tc>
        <w:tc>
          <w:tcPr>
            <w:tcW w:type="dxa" w:w="4464"/>
            <w:shd w:fill="1F1F1F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/>
                <w:color w:val="FFFFFF"/>
                <w:sz w:val="18"/>
              </w:rPr>
              <w:t>Resultado esperado</w:t>
            </w:r>
          </w:p>
        </w:tc>
        <w:tc>
          <w:tcPr>
            <w:tcW w:type="dxa" w:w="4464"/>
            <w:shd w:fill="1F1F1F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Estado real (9 jul 2026)</w:t>
            </w:r>
            <w:r>
              <w:rPr>
                <w:rFonts w:ascii="Liberation Sans" w:hAnsi="Liberation Sans" w:eastAsia="Liberation Sans"/>
                <w:b/>
                <w:color w:val="FFFFFF"/>
                <w:sz w:val="18"/>
              </w:rPr>
            </w:r>
          </w:p>
        </w:tc>
      </w:tr>
      <w:tr>
        <w:trPr>
          <w:cantSplit/>
        </w:trPr>
        <w:tc>
          <w:tcPr>
            <w:tcW w:type="dxa" w:w="100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1</w:t>
            </w:r>
          </w:p>
        </w:tc>
        <w:tc>
          <w:tcPr>
            <w:tcW w:type="dxa" w:w="489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Cerrar datos reales de inversión ya realizada e inversión pendiente.</w:t>
            </w:r>
          </w:p>
        </w:tc>
        <w:tc>
          <w:tcPr>
            <w:tcW w:type="dxa" w:w="446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Modelo financiero fiable.</w:t>
            </w:r>
          </w:p>
        </w:tc>
        <w:tc>
          <w:tcPr>
            <w:tcW w:type="dxa" w:w="446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En curso — ya validado en este documento (tablas 1.2 y 1.3), quedan gastos mensuales por confirmar.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00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2</w:t>
            </w:r>
          </w:p>
        </w:tc>
        <w:tc>
          <w:tcPr>
            <w:tcW w:type="dxa" w:w="489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Validar costes mensuales reales.</w:t>
            </w:r>
          </w:p>
        </w:tc>
        <w:tc>
          <w:tcPr>
            <w:tcW w:type="dxa" w:w="446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Punto muerto y capacidad de devolución.</w:t>
            </w:r>
          </w:p>
        </w:tc>
        <w:tc>
          <w:tcPr>
            <w:tcW w:type="dxa" w:w="446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Parcial — alquiler y personal reales; faltan luz, agua, seguro, gestoría, etc.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00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3</w:t>
            </w:r>
          </w:p>
        </w:tc>
        <w:tc>
          <w:tcPr>
            <w:tcW w:type="dxa" w:w="489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Actualizar métricas comerciales reales.</w:t>
            </w:r>
          </w:p>
        </w:tc>
        <w:tc>
          <w:tcPr>
            <w:tcW w:type="dxa" w:w="446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Prueba de demanda para inversores.</w:t>
            </w:r>
          </w:p>
        </w:tc>
        <w:tc>
          <w:tcPr>
            <w:tcW w:type="dxa" w:w="446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Pendiente — solo se dispone del dato de 230 preinscritos.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00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4</w:t>
            </w:r>
          </w:p>
        </w:tc>
        <w:tc>
          <w:tcPr>
            <w:tcW w:type="dxa" w:w="489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Decidir estructura: préstamo, inversor o mezcla.</w:t>
            </w:r>
          </w:p>
        </w:tc>
        <w:tc>
          <w:tcPr>
            <w:tcW w:type="dxa" w:w="446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Propuesta clara y defendible.</w:t>
            </w:r>
          </w:p>
        </w:tc>
        <w:tc>
          <w:tcPr>
            <w:tcW w:type="dxa" w:w="446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En curso — reunión prevista con dos perfiles (inversor de capital y prestamista).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00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5</w:t>
            </w:r>
          </w:p>
        </w:tc>
        <w:tc>
          <w:tcPr>
            <w:tcW w:type="dxa" w:w="489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Preparar versión para prestamistas.</w:t>
            </w:r>
          </w:p>
        </w:tc>
        <w:tc>
          <w:tcPr>
            <w:tcW w:type="dxa" w:w="446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Documento corto de 5-7 páginas.</w:t>
            </w:r>
          </w:p>
        </w:tc>
        <w:tc>
          <w:tcPr>
            <w:tcW w:type="dxa" w:w="446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Hecho — ver solicitud-financiacion.html y pl-inversores.html.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00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6</w:t>
            </w:r>
          </w:p>
        </w:tc>
        <w:tc>
          <w:tcPr>
            <w:tcW w:type="dxa" w:w="489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Preparar versión para inversores.</w:t>
            </w:r>
          </w:p>
        </w:tc>
        <w:tc>
          <w:tcPr>
            <w:tcW w:type="dxa" w:w="446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Investment Memorandum con valoración y cap table.</w:t>
            </w:r>
          </w:p>
        </w:tc>
        <w:tc>
          <w:tcPr>
            <w:tcW w:type="dxa" w:w="446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Hecho — ver escenario-socios.html, dossiers y pl-inversores.html.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00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7</w:t>
            </w:r>
          </w:p>
        </w:tc>
        <w:tc>
          <w:tcPr>
            <w:tcW w:type="dxa" w:w="489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Preparar carpeta documental.</w:t>
            </w:r>
          </w:p>
        </w:tc>
        <w:tc>
          <w:tcPr>
            <w:tcW w:type="dxa" w:w="446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Due diligence ordenada.</w:t>
            </w:r>
          </w:p>
        </w:tc>
        <w:tc>
          <w:tcPr>
            <w:tcW w:type="dxa" w:w="446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Pendiente.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00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8</w:t>
            </w:r>
          </w:p>
        </w:tc>
        <w:tc>
          <w:tcPr>
            <w:tcW w:type="dxa" w:w="489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Preparar mensajes de contacto.</w:t>
            </w:r>
          </w:p>
        </w:tc>
        <w:tc>
          <w:tcPr>
            <w:tcW w:type="dxa" w:w="446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Liberation Sans" w:hAnsi="Liberation Sans" w:eastAsia="Liberation Sans"/>
                <w:b w:val="0"/>
                <w:sz w:val="17"/>
              </w:rPr>
              <w:t>WhatsApp, email y argumentario de preguntas difíciles.</w:t>
            </w:r>
          </w:p>
        </w:tc>
        <w:tc>
          <w:tcPr>
            <w:tcW w:type="dxa" w:w="446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t>Parcial — guion de preguntas difíciles ya preparado (preguntas-inversores.html).</w:t>
            </w:r>
            <w:r>
              <w:rPr>
                <w:rFonts w:ascii="Liberation Sans" w:hAnsi="Liberation Sans" w:eastAsia="Liberation Sans"/>
                <w:b w:val="0"/>
                <w:sz w:val="17"/>
              </w:rPr>
            </w:r>
          </w:p>
        </w:tc>
      </w:tr>
    </w:tbl>
    <w:p>
      <w:pPr>
        <w:pStyle w:val="Heading1"/>
      </w:pPr>
      <w:r>
        <w:t>5. Datos que hay que pasar para la versión 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EDEDED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80"/>
            </w:pPr>
            <w:r/>
            <w:r>
              <w:rPr>
                <w:rFonts w:ascii="Liberation Sans" w:hAnsi="Liberation Sans" w:eastAsia="Liberation Sans"/>
                <w:b/>
                <w:color w:val="1F1F1F"/>
                <w:sz w:val="20"/>
              </w:rPr>
              <w:t>Lista prioritaria</w:t>
            </w:r>
          </w:p>
          <w:p>
            <w:pPr>
              <w:spacing w:after="0"/>
            </w:pPr>
            <w:r>
              <w:rPr>
                <w:rFonts w:ascii="Liberation Sans" w:hAnsi="Liberation Sans" w:eastAsia="Liberation Sans"/>
                <w:sz w:val="18"/>
              </w:rPr>
              <w:t>Con estos datos se puede preparar una versión v3 mucho más seria del Excel, dossier y propuesta de financiación.</w:t>
            </w:r>
          </w:p>
        </w:tc>
      </w:tr>
    </w:tbl>
    <w:p>
      <w:pPr>
        <w:pStyle w:val="ListBullet"/>
        <w:spacing w:after="40"/>
      </w:pPr>
      <w:r>
        <w:rPr>
          <w:rFonts w:ascii="Liberation Sans" w:hAnsi="Liberation Sans" w:eastAsia="Liberation Sans"/>
          <w:sz w:val="19"/>
        </w:rPr>
        <w:t>Dinero ya invertido total.</w:t>
      </w:r>
    </w:p>
    <w:p>
      <w:pPr>
        <w:pStyle w:val="ListBullet"/>
        <w:spacing w:after="40"/>
      </w:pPr>
      <w:r>
        <w:rPr>
          <w:rFonts w:ascii="Liberation Sans" w:hAnsi="Liberation Sans" w:eastAsia="Liberation Sans"/>
          <w:sz w:val="19"/>
        </w:rPr>
        <w:t>Dinero pendiente exacto para abrir.</w:t>
      </w:r>
    </w:p>
    <w:p>
      <w:pPr>
        <w:pStyle w:val="ListBullet"/>
        <w:spacing w:after="40"/>
      </w:pPr>
      <w:r>
        <w:rPr>
          <w:rFonts w:ascii="Liberation Sans" w:hAnsi="Liberation Sans" w:eastAsia="Liberation Sans"/>
          <w:sz w:val="19"/>
        </w:rPr>
        <w:t>Coste mensual fijo estimado real.</w:t>
      </w:r>
    </w:p>
    <w:p>
      <w:pPr>
        <w:pStyle w:val="ListBullet"/>
        <w:spacing w:after="40"/>
      </w:pPr>
      <w:r>
        <w:rPr>
          <w:rFonts w:ascii="Liberation Sans" w:hAnsi="Liberation Sans" w:eastAsia="Liberation Sans"/>
          <w:sz w:val="19"/>
        </w:rPr>
        <w:t>Número de preinscritos reales.</w:t>
      </w:r>
    </w:p>
    <w:p>
      <w:pPr>
        <w:pStyle w:val="ListBullet"/>
        <w:spacing w:after="40"/>
      </w:pPr>
      <w:r>
        <w:rPr>
          <w:rFonts w:ascii="Liberation Sans" w:hAnsi="Liberation Sans" w:eastAsia="Liberation Sans"/>
          <w:sz w:val="19"/>
        </w:rPr>
        <w:t>Número de tarjetas registradas o pagos de 1 céntimo.</w:t>
      </w:r>
    </w:p>
    <w:p>
      <w:pPr>
        <w:pStyle w:val="ListBullet"/>
        <w:spacing w:after="40"/>
      </w:pPr>
      <w:r>
        <w:rPr>
          <w:rFonts w:ascii="Liberation Sans" w:hAnsi="Liberation Sans" w:eastAsia="Liberation Sans"/>
          <w:sz w:val="19"/>
        </w:rPr>
        <w:t>Importe que se quiere pedir.</w:t>
      </w:r>
    </w:p>
    <w:p>
      <w:pPr>
        <w:pStyle w:val="ListBullet"/>
        <w:spacing w:after="40"/>
      </w:pPr>
      <w:r>
        <w:rPr>
          <w:rFonts w:ascii="Liberation Sans" w:hAnsi="Liberation Sans" w:eastAsia="Liberation Sans"/>
          <w:sz w:val="19"/>
        </w:rPr>
        <w:t>Preferencia: préstamo, inversor, convertible o mezcla.</w:t>
      </w:r>
    </w:p>
    <w:p>
      <w:pPr>
        <w:pStyle w:val="ListBullet"/>
        <w:spacing w:after="40"/>
      </w:pPr>
      <w:r>
        <w:rPr>
          <w:rFonts w:ascii="Liberation Sans" w:hAnsi="Liberation Sans" w:eastAsia="Liberation Sans"/>
          <w:sz w:val="19"/>
        </w:rPr>
        <w:t>Reparto actual real de la sociedad.</w:t>
      </w:r>
    </w:p>
    <w:p>
      <w:pPr>
        <w:pStyle w:val="ListBullet"/>
        <w:spacing w:after="40"/>
      </w:pPr>
      <w:r>
        <w:rPr>
          <w:rFonts w:ascii="Liberation Sans" w:hAnsi="Liberation Sans" w:eastAsia="Liberation Sans"/>
          <w:sz w:val="19"/>
        </w:rPr>
        <w:t>Fecha realista de apertura. → Objetivo: octubre 2026 (estimado, sujeto a tiempos de obra; aún no hay fecha cerrada).</w:t>
      </w:r>
    </w:p>
    <w:p>
      <w:pPr>
        <w:pStyle w:val="Heading1"/>
      </w:pPr>
      <w:r>
        <w:t>6. Mensaje base para explicar la operación</w:t>
      </w:r>
    </w:p>
    <w:p>
      <w:pPr>
        <w:spacing w:after="100"/>
      </w:pPr>
      <w:r>
        <w:rPr>
          <w:rFonts w:ascii="Liberation Sans" w:hAnsi="Liberation Sans" w:eastAsia="Liberation Sans"/>
          <w:sz w:val="20"/>
        </w:rPr>
        <w:t>Texto orientativo para usar en conversaciones iniciales con prestamistas o inversores:</w:t>
      </w:r>
    </w:p>
    <w:p>
      <w:pPr>
        <w:spacing w:before="120" w:after="240"/>
        <w:ind w:left="504" w:right="504"/>
      </w:pPr>
      <w:r>
        <w:rPr>
          <w:rFonts w:ascii="Liberation Sans" w:hAnsi="Liberation Sans" w:eastAsia="Liberation Sans"/>
          <w:i/>
          <w:sz w:val="20"/>
        </w:rPr>
        <w:t>CARO LEGION S.L. está preparando la apertura de LEGION CLUB, un gimnasio de gran formato en la zona de Manresa/Sant Fruitós de Bages. El proyecto ya cuenta con trabajo avanzado en marca, local, proveedores, app, campaña comercial y preinscripciones. Buscamos financiación para completar la fase final de apertura, cubrir la inversión pendiente y dotar al negocio de una tesorería inicial suficiente. La propuesta puede estructurarse como préstamo privado, entrada de inversor estratégico o préstamo convertible, según el perfil del financiador.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2F2F2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80"/>
            </w:pPr>
            <w:r/>
            <w:r>
              <w:rPr>
                <w:rFonts w:ascii="Liberation Sans" w:hAnsi="Liberation Sans" w:eastAsia="Liberation Sans"/>
                <w:b/>
                <w:color w:val="1F1F1F"/>
                <w:sz w:val="20"/>
              </w:rPr>
              <w:t>Conclusión práctica</w:t>
            </w:r>
          </w:p>
          <w:p>
            <w:pPr>
              <w:spacing w:after="0"/>
            </w:pPr>
            <w:r>
              <w:rPr>
                <w:rFonts w:ascii="Liberation Sans" w:hAnsi="Liberation Sans" w:eastAsia="Liberation Sans"/>
                <w:sz w:val="18"/>
              </w:rPr>
              <w:t>La prioridad ahora no es hacer más documentos por hacer, sino cerrar números reales y preparar dos versiones: una para prestamistas, centrada en devolución y seguridad; y otra para inversores, centrada en valoración, potencial y porcentaje.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893" w:right="979" w:bottom="893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iberation Sans" w:hAnsi="Liberation Sans" w:eastAsia="Liberation Sans"/>
        <w:color w:val="646464"/>
        <w:sz w:val="16"/>
      </w:rPr>
      <w:t>LEGION CLUB - Checklist financiación e inversión - Documento interno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Liberation Sans" w:hAnsi="Liberation Sans" w:eastAsia="Liberation San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Liberation Sans" w:hAnsi="Liberation Sans" w:eastAsia="Liberation Sans"/>
      <w:b/>
      <w:bCs/>
      <w:color w:val="1F1F1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Liberation Sans" w:hAnsi="Liberation Sans" w:eastAsia="Liberation Sans"/>
      <w:b/>
      <w:bCs/>
      <w:color w:val="1F1F1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Liberation Sans" w:hAnsi="Liberation Sans" w:eastAsia="Liberation Sans"/>
      <w:b/>
      <w:bCs/>
      <w:color w:val="1F1F1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