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2325A"/>
          <w:sz w:val="40"/>
        </w:rPr>
        <w:t>CARO LEGIÓN, S.L.</w:t>
      </w:r>
    </w:p>
    <w:p>
      <w:pPr>
        <w:spacing w:after="240"/>
      </w:pPr>
      <w:r>
        <w:rPr>
          <w:color w:val="697089"/>
          <w:sz w:val="20"/>
        </w:rPr>
        <w:t>LEGION CLUB · SANT FRUITÓS DE BAGES</w:t>
      </w:r>
    </w:p>
    <w:p>
      <w:pPr>
        <w:spacing w:after="40"/>
      </w:pPr>
      <w:r>
        <w:rPr>
          <w:b/>
          <w:color w:val="A8791F"/>
          <w:sz w:val="20"/>
        </w:rPr>
        <w:t>PLAN ECONÓMICO-FINANCIERO Y PROPUESTA DE FINANCIACIÓN</w:t>
      </w:r>
    </w:p>
    <w:p>
      <w:pPr>
        <w:spacing w:after="80"/>
      </w:pPr>
      <w:r>
        <w:rPr>
          <w:color w:val="697089"/>
          <w:sz w:val="19"/>
        </w:rPr>
        <w:t>9 de julio de 2026 · Documento confidencial · Ref. LEGION-FIN-2026</w:t>
      </w:r>
    </w:p>
    <w:p>
      <w:pPr>
        <w:spacing w:after="120"/>
      </w:pPr>
      <w:r>
        <w:rPr>
          <w:b w:val="0"/>
          <w:i w:val="0"/>
          <w:color w:val="3A4260"/>
          <w:sz w:val="21"/>
        </w:rPr>
        <w:t>Legion Club es un centro deportivo de nueva creación en Sant Fruitós de Bages (Barcelona), actualmente en fase final de reforma y equipamiento. Este documento resume la situación de la inversión, el destino de los fondos, el modelo de negocio y la propuesta de financiación.</w:t>
      </w:r>
    </w:p>
    <w:p>
      <w:pPr>
        <w:keepNext/>
        <w:spacing w:before="320" w:after="120"/>
        <w:pBdr>
          <w:bottom w:val="single" w:sz="6" w:space="2" w:color="E4E7F0"/>
        </w:pBdr>
      </w:pPr>
      <w:r>
        <w:rPr>
          <w:b/>
          <w:color w:val="12325A"/>
          <w:sz w:val="26"/>
        </w:rPr>
        <w:t>1. Datos de la sociedad</w:t>
      </w:r>
    </w:p>
    <w:tbl>
      <w:tblPr>
        <w:tblW w:type="auto" w:w="0"/>
        <w:jc w:val="center"/>
        <w:tblLook w:firstColumn="1" w:firstRow="1" w:lastColumn="0" w:lastRow="0" w:noHBand="0" w:noVBand="1" w:val="04A0"/>
        <w:tblBorders>
          <w:top w:val="single" w:sz="4" w:space="0" w:color="D2D6E4"/>
          <w:left w:val="single" w:sz="4" w:space="0" w:color="D2D6E4"/>
          <w:bottom w:val="single" w:sz="4" w:space="0" w:color="D2D6E4"/>
          <w:right w:val="single" w:sz="4" w:space="0" w:color="D2D6E4"/>
          <w:insideH w:val="single" w:sz="4" w:space="0" w:color="D2D6E4"/>
          <w:insideV w:val="single" w:sz="4" w:space="0" w:color="D2D6E4"/>
        </w:tblBorders>
      </w:tblPr>
      <w:tblGrid>
        <w:gridCol w:w="4873"/>
        <w:gridCol w:w="4873"/>
      </w:tblGrid>
      <w:tr>
        <w:tc>
          <w:tcPr>
            <w:tcW w:type="dxa" w:w="2835"/>
            <w:shd w:val="clear" w:fill="F6F8FC"/>
          </w:tcPr>
          <w:p>
            <w:r>
              <w:rPr>
                <w:b/>
                <w:color w:val="FFFFFF"/>
                <w:sz w:val="19"/>
              </w:rPr>
            </w:r>
          </w:p>
        </w:tc>
        <w:tc>
          <w:tcPr>
            <w:tcW w:type="dxa" w:w="6236"/>
            <w:shd w:val="clear" w:fill="F6F8FC"/>
          </w:tcPr>
          <w:p>
            <w:r>
              <w:rPr>
                <w:b/>
                <w:color w:val="FFFFFF"/>
                <w:sz w:val="19"/>
              </w:rPr>
            </w:r>
          </w:p>
        </w:tc>
      </w:tr>
      <w:tr>
        <w:tc>
          <w:tcPr>
            <w:tcW w:type="dxa" w:w="2835"/>
          </w:tcPr>
          <w:p>
            <w:r>
              <w:rPr>
                <w:b w:val="0"/>
                <w:color w:val="3A4260"/>
                <w:sz w:val="20"/>
              </w:rPr>
              <w:t>Razón social</w:t>
            </w:r>
          </w:p>
        </w:tc>
        <w:tc>
          <w:tcPr>
            <w:tcW w:type="dxa" w:w="6236"/>
          </w:tcPr>
          <w:p>
            <w:r>
              <w:rPr>
                <w:b w:val="0"/>
                <w:color w:val="3A4260"/>
                <w:sz w:val="20"/>
              </w:rPr>
              <w:t>Caro Legión, S.L.</w:t>
            </w:r>
          </w:p>
        </w:tc>
      </w:tr>
      <w:tr>
        <w:tc>
          <w:tcPr>
            <w:tcW w:type="dxa" w:w="2835"/>
          </w:tcPr>
          <w:p>
            <w:r>
              <w:rPr>
                <w:b w:val="0"/>
                <w:color w:val="3A4260"/>
                <w:sz w:val="20"/>
              </w:rPr>
              <w:t>NIF</w:t>
            </w:r>
          </w:p>
        </w:tc>
        <w:tc>
          <w:tcPr>
            <w:tcW w:type="dxa" w:w="6236"/>
          </w:tcPr>
          <w:p>
            <w:r>
              <w:rPr>
                <w:b w:val="0"/>
                <w:color w:val="3A4260"/>
                <w:sz w:val="20"/>
              </w:rPr>
              <w:t>B-22593131</w:t>
            </w:r>
          </w:p>
        </w:tc>
      </w:tr>
      <w:tr>
        <w:tc>
          <w:tcPr>
            <w:tcW w:type="dxa" w:w="2835"/>
          </w:tcPr>
          <w:p>
            <w:r>
              <w:rPr>
                <w:b w:val="0"/>
                <w:color w:val="3A4260"/>
                <w:sz w:val="20"/>
              </w:rPr>
              <w:t>Domicilio del centro</w:t>
            </w:r>
          </w:p>
        </w:tc>
        <w:tc>
          <w:tcPr>
            <w:tcW w:type="dxa" w:w="6236"/>
          </w:tcPr>
          <w:p>
            <w:r>
              <w:rPr>
                <w:b w:val="0"/>
                <w:color w:val="3A4260"/>
                <w:sz w:val="20"/>
              </w:rPr>
              <w:t>Carrer Ensija, 32 · Sant Fruitós de Bages</w:t>
            </w:r>
          </w:p>
        </w:tc>
      </w:tr>
      <w:tr>
        <w:tc>
          <w:tcPr>
            <w:tcW w:type="dxa" w:w="2835"/>
          </w:tcPr>
          <w:p>
            <w:r>
              <w:rPr>
                <w:b w:val="0"/>
                <w:color w:val="3A4260"/>
                <w:sz w:val="20"/>
              </w:rPr>
              <w:t>Actividad</w:t>
            </w:r>
          </w:p>
        </w:tc>
        <w:tc>
          <w:tcPr>
            <w:tcW w:type="dxa" w:w="6236"/>
          </w:tcPr>
          <w:p>
            <w:r>
              <w:rPr>
                <w:b w:val="0"/>
                <w:color w:val="3A4260"/>
                <w:sz w:val="20"/>
              </w:rPr>
              <w:t>Explotación de centro deportivo / gimnasio</w:t>
            </w:r>
          </w:p>
        </w:tc>
      </w:tr>
      <w:tr>
        <w:tc>
          <w:tcPr>
            <w:tcW w:type="dxa" w:w="2835"/>
          </w:tcPr>
          <w:p>
            <w:r>
              <w:rPr>
                <w:b w:val="0"/>
                <w:color w:val="3A4260"/>
                <w:sz w:val="20"/>
              </w:rPr>
              <w:t>Administrador</w:t>
            </w:r>
          </w:p>
        </w:tc>
        <w:tc>
          <w:tcPr>
            <w:tcW w:type="dxa" w:w="6236"/>
          </w:tcPr>
          <w:p>
            <w:r>
              <w:rPr>
                <w:b w:val="0"/>
                <w:color w:val="3A4260"/>
                <w:sz w:val="20"/>
              </w:rPr>
              <w:t>Sergi Caro Folch</w:t>
            </w:r>
          </w:p>
        </w:tc>
      </w:tr>
      <w:tr>
        <w:tc>
          <w:tcPr>
            <w:tcW w:type="dxa" w:w="2835"/>
          </w:tcPr>
          <w:p>
            <w:r>
              <w:rPr>
                <w:b w:val="0"/>
                <w:color w:val="3A4260"/>
                <w:sz w:val="20"/>
              </w:rPr>
              <w:t>Forma jurídica</w:t>
            </w:r>
          </w:p>
        </w:tc>
        <w:tc>
          <w:tcPr>
            <w:tcW w:type="dxa" w:w="6236"/>
          </w:tcPr>
          <w:p>
            <w:r>
              <w:rPr>
                <w:b w:val="0"/>
                <w:color w:val="3A4260"/>
                <w:sz w:val="20"/>
              </w:rPr>
              <w:t>Sociedad Limitada</w:t>
            </w:r>
          </w:p>
        </w:tc>
      </w:tr>
    </w:tbl>
    <w:p>
      <w:pPr>
        <w:spacing w:after="40"/>
      </w:pPr>
    </w:p>
    <w:p>
      <w:pPr>
        <w:keepNext/>
        <w:spacing w:before="320" w:after="120"/>
        <w:pBdr>
          <w:bottom w:val="single" w:sz="6" w:space="2" w:color="E4E7F0"/>
        </w:pBdr>
      </w:pPr>
      <w:r>
        <w:rPr>
          <w:b/>
          <w:color w:val="12325A"/>
          <w:sz w:val="26"/>
        </w:rPr>
        <w:t>2. Propuesta de financiación</w:t>
      </w:r>
    </w:p>
    <w:p>
      <w:pPr>
        <w:spacing w:after="40"/>
      </w:pPr>
      <w:r>
        <w:rPr>
          <w:b/>
          <w:color w:val="12325A"/>
          <w:sz w:val="30"/>
        </w:rPr>
        <w:t>Importe solicitado: 310.000 €</w:t>
      </w:r>
    </w:p>
    <w:tbl>
      <w:tblPr>
        <w:tblW w:type="auto" w:w="0"/>
        <w:jc w:val="center"/>
        <w:tblLook w:firstColumn="1" w:firstRow="1" w:lastColumn="0" w:lastRow="0" w:noHBand="0" w:noVBand="1" w:val="04A0"/>
        <w:tblBorders>
          <w:top w:val="single" w:sz="4" w:space="0" w:color="D2D6E4"/>
          <w:left w:val="single" w:sz="4" w:space="0" w:color="D2D6E4"/>
          <w:bottom w:val="single" w:sz="4" w:space="0" w:color="D2D6E4"/>
          <w:right w:val="single" w:sz="4" w:space="0" w:color="D2D6E4"/>
          <w:insideH w:val="single" w:sz="4" w:space="0" w:color="D2D6E4"/>
          <w:insideV w:val="single" w:sz="4" w:space="0" w:color="D2D6E4"/>
        </w:tblBorders>
      </w:tblPr>
      <w:tblGrid>
        <w:gridCol w:w="4873"/>
        <w:gridCol w:w="4873"/>
      </w:tblGrid>
      <w:tr>
        <w:tc>
          <w:tcPr>
            <w:tcW w:type="dxa" w:w="6236"/>
            <w:shd w:val="clear" w:fill="12325A"/>
          </w:tcPr>
          <w:p>
            <w:r>
              <w:rPr>
                <w:b/>
                <w:color w:val="FFFFFF"/>
                <w:sz w:val="19"/>
              </w:rPr>
              <w:t>Concepto</w:t>
            </w:r>
          </w:p>
        </w:tc>
        <w:tc>
          <w:tcPr>
            <w:tcW w:type="dxa" w:w="2835"/>
            <w:shd w:val="clear" w:fill="12325A"/>
          </w:tcPr>
          <w:p>
            <w:r>
              <w:rPr>
                <w:b/>
                <w:color w:val="FFFFFF"/>
                <w:sz w:val="19"/>
              </w:rPr>
              <w:t>Importe</w:t>
            </w:r>
          </w:p>
        </w:tc>
      </w:tr>
      <w:tr>
        <w:tc>
          <w:tcPr>
            <w:tcW w:type="dxa" w:w="6236"/>
          </w:tcPr>
          <w:p>
            <w:r>
              <w:rPr>
                <w:b w:val="0"/>
                <w:color w:val="3A4260"/>
                <w:sz w:val="20"/>
              </w:rPr>
              <w:t>Necesidad de financiación (inversión pendiente neta)</w:t>
            </w:r>
          </w:p>
        </w:tc>
        <w:tc>
          <w:tcPr>
            <w:tcW w:type="dxa" w:w="2835"/>
          </w:tcPr>
          <w:p>
            <w:r>
              <w:rPr>
                <w:b w:val="0"/>
                <w:color w:val="3A4260"/>
                <w:sz w:val="20"/>
              </w:rPr>
              <w:t>245.474 €</w:t>
            </w:r>
          </w:p>
        </w:tc>
      </w:tr>
      <w:tr>
        <w:tc>
          <w:tcPr>
            <w:tcW w:type="dxa" w:w="6236"/>
          </w:tcPr>
          <w:p>
            <w:r>
              <w:rPr>
                <w:b w:val="0"/>
                <w:color w:val="3A4260"/>
                <w:sz w:val="20"/>
              </w:rPr>
              <w:t>Tesorería inicial (margen de seguridad para los primeros meses)</w:t>
            </w:r>
          </w:p>
        </w:tc>
        <w:tc>
          <w:tcPr>
            <w:tcW w:type="dxa" w:w="2835"/>
          </w:tcPr>
          <w:p>
            <w:r>
              <w:rPr>
                <w:b w:val="0"/>
                <w:color w:val="3A4260"/>
                <w:sz w:val="20"/>
              </w:rPr>
              <w:t>64.526 €</w:t>
            </w:r>
          </w:p>
        </w:tc>
      </w:tr>
      <w:tr>
        <w:tc>
          <w:tcPr>
            <w:tcW w:type="dxa" w:w="6236"/>
            <w:shd w:val="clear" w:fill="F6F8FC"/>
          </w:tcPr>
          <w:p>
            <w:r>
              <w:rPr>
                <w:b/>
                <w:color w:val="12325A"/>
                <w:sz w:val="20"/>
              </w:rPr>
              <w:t>TOTAL SOLICITADO</w:t>
            </w:r>
          </w:p>
        </w:tc>
        <w:tc>
          <w:tcPr>
            <w:tcW w:type="dxa" w:w="2835"/>
            <w:shd w:val="clear" w:fill="F6F8FC"/>
          </w:tcPr>
          <w:p>
            <w:r>
              <w:rPr>
                <w:b/>
                <w:color w:val="12325A"/>
                <w:sz w:val="20"/>
              </w:rPr>
              <w:t>310.000 €</w:t>
            </w:r>
          </w:p>
        </w:tc>
      </w:tr>
    </w:tbl>
    <w:p>
      <w:pPr>
        <w:spacing w:after="40"/>
      </w:pPr>
    </w:p>
    <w:p>
      <w:pPr>
        <w:spacing w:after="120"/>
      </w:pPr>
      <w:r>
        <w:rPr>
          <w:b w:val="0"/>
          <w:i w:val="0"/>
          <w:color w:val="3A4260"/>
          <w:sz w:val="21"/>
        </w:rPr>
        <w:t>El importe puede cubrirse mediante una combinación de aportación de capital y préstamo, según el perfil de cada financiador (ver punto 7).</w:t>
      </w:r>
    </w:p>
    <w:p>
      <w:pPr>
        <w:keepNext/>
        <w:spacing w:before="320" w:after="120"/>
        <w:pBdr>
          <w:bottom w:val="single" w:sz="6" w:space="2" w:color="E4E7F0"/>
        </w:pBdr>
      </w:pPr>
      <w:r>
        <w:rPr>
          <w:b/>
          <w:color w:val="12325A"/>
          <w:sz w:val="26"/>
        </w:rPr>
        <w:t>3. Situación de la inversión</w:t>
      </w:r>
    </w:p>
    <w:tbl>
      <w:tblPr>
        <w:tblW w:type="auto" w:w="0"/>
        <w:jc w:val="center"/>
        <w:tblLook w:firstColumn="1" w:firstRow="1" w:lastColumn="0" w:lastRow="0" w:noHBand="0" w:noVBand="1" w:val="04A0"/>
        <w:tblBorders>
          <w:top w:val="single" w:sz="4" w:space="0" w:color="D2D6E4"/>
          <w:left w:val="single" w:sz="4" w:space="0" w:color="D2D6E4"/>
          <w:bottom w:val="single" w:sz="4" w:space="0" w:color="D2D6E4"/>
          <w:right w:val="single" w:sz="4" w:space="0" w:color="D2D6E4"/>
          <w:insideH w:val="single" w:sz="4" w:space="0" w:color="D2D6E4"/>
          <w:insideV w:val="single" w:sz="4" w:space="0" w:color="D2D6E4"/>
        </w:tblBorders>
      </w:tblPr>
      <w:tblGrid>
        <w:gridCol w:w="4873"/>
        <w:gridCol w:w="4873"/>
      </w:tblGrid>
      <w:tr>
        <w:tc>
          <w:tcPr>
            <w:tcW w:type="dxa" w:w="6236"/>
            <w:shd w:val="clear" w:fill="12325A"/>
          </w:tcPr>
          <w:p>
            <w:r>
              <w:rPr>
                <w:b/>
                <w:color w:val="FFFFFF"/>
                <w:sz w:val="19"/>
              </w:rPr>
              <w:t>Concepto</w:t>
            </w:r>
          </w:p>
        </w:tc>
        <w:tc>
          <w:tcPr>
            <w:tcW w:type="dxa" w:w="2835"/>
            <w:shd w:val="clear" w:fill="12325A"/>
          </w:tcPr>
          <w:p>
            <w:r>
              <w:rPr>
                <w:b/>
                <w:color w:val="FFFFFF"/>
                <w:sz w:val="19"/>
              </w:rPr>
              <w:t>Importe</w:t>
            </w:r>
          </w:p>
        </w:tc>
      </w:tr>
      <w:tr>
        <w:tc>
          <w:tcPr>
            <w:tcW w:type="dxa" w:w="6236"/>
          </w:tcPr>
          <w:p>
            <w:r>
              <w:rPr>
                <w:b w:val="0"/>
                <w:color w:val="3A4260"/>
                <w:sz w:val="20"/>
              </w:rPr>
              <w:t>Coste total del proyecto</w:t>
            </w:r>
          </w:p>
        </w:tc>
        <w:tc>
          <w:tcPr>
            <w:tcW w:type="dxa" w:w="2835"/>
          </w:tcPr>
          <w:p>
            <w:r>
              <w:rPr>
                <w:b w:val="0"/>
                <w:color w:val="3A4260"/>
                <w:sz w:val="20"/>
              </w:rPr>
              <w:t>489.469 €</w:t>
            </w:r>
          </w:p>
        </w:tc>
      </w:tr>
      <w:tr>
        <w:tc>
          <w:tcPr>
            <w:tcW w:type="dxa" w:w="6236"/>
          </w:tcPr>
          <w:p>
            <w:r>
              <w:rPr>
                <w:b w:val="0"/>
                <w:color w:val="3A4260"/>
                <w:sz w:val="20"/>
              </w:rPr>
              <w:t>Ejecutado y pagado</w:t>
            </w:r>
          </w:p>
        </w:tc>
        <w:tc>
          <w:tcPr>
            <w:tcW w:type="dxa" w:w="2835"/>
          </w:tcPr>
          <w:p>
            <w:r>
              <w:rPr>
                <w:b w:val="0"/>
                <w:color w:val="3A4260"/>
                <w:sz w:val="20"/>
              </w:rPr>
              <w:t>180.750 €</w:t>
            </w:r>
          </w:p>
        </w:tc>
      </w:tr>
      <w:tr>
        <w:tc>
          <w:tcPr>
            <w:tcW w:type="dxa" w:w="6236"/>
          </w:tcPr>
          <w:p>
            <w:r>
              <w:rPr>
                <w:b w:val="0"/>
                <w:color w:val="3A4260"/>
                <w:sz w:val="20"/>
              </w:rPr>
              <w:t>Pendiente de pago</w:t>
            </w:r>
          </w:p>
        </w:tc>
        <w:tc>
          <w:tcPr>
            <w:tcW w:type="dxa" w:w="2835"/>
          </w:tcPr>
          <w:p>
            <w:r>
              <w:rPr>
                <w:b w:val="0"/>
                <w:color w:val="3A4260"/>
                <w:sz w:val="20"/>
              </w:rPr>
              <w:t>308.720 €</w:t>
            </w:r>
          </w:p>
        </w:tc>
      </w:tr>
      <w:tr>
        <w:tc>
          <w:tcPr>
            <w:tcW w:type="dxa" w:w="6236"/>
          </w:tcPr>
          <w:p>
            <w:r>
              <w:rPr>
                <w:b w:val="0"/>
                <w:color w:val="3A4260"/>
                <w:sz w:val="20"/>
              </w:rPr>
              <w:t>Saldo disponible en caja</w:t>
            </w:r>
          </w:p>
        </w:tc>
        <w:tc>
          <w:tcPr>
            <w:tcW w:type="dxa" w:w="2835"/>
          </w:tcPr>
          <w:p>
            <w:r>
              <w:rPr>
                <w:b w:val="0"/>
                <w:color w:val="3A4260"/>
                <w:sz w:val="20"/>
              </w:rPr>
              <w:t>63.246 €</w:t>
            </w:r>
          </w:p>
        </w:tc>
      </w:tr>
    </w:tbl>
    <w:p>
      <w:pPr>
        <w:spacing w:after="40"/>
      </w:pPr>
    </w:p>
    <w:p>
      <w:pPr>
        <w:spacing w:after="120"/>
      </w:pPr>
      <w:r>
        <w:rPr>
          <w:b w:val="0"/>
          <w:i w:val="0"/>
          <w:color w:val="3A4260"/>
          <w:sz w:val="21"/>
        </w:rPr>
        <w:t>La obra y las instalaciones se encuentran en fase avanzada. La mayor parte de la inversión pendiente corresponde a partidas con presupuesto cerrado.</w:t>
      </w:r>
    </w:p>
    <w:p>
      <w:pPr>
        <w:keepNext/>
        <w:spacing w:before="200" w:after="80"/>
      </w:pPr>
      <w:r>
        <w:rPr>
          <w:b/>
          <w:color w:val="141A2B"/>
          <w:sz w:val="22"/>
        </w:rPr>
        <w:t>Destino de los fondos</w:t>
      </w:r>
    </w:p>
    <w:tbl>
      <w:tblPr>
        <w:tblW w:type="auto" w:w="0"/>
        <w:jc w:val="center"/>
        <w:tblLook w:firstColumn="1" w:firstRow="1" w:lastColumn="0" w:lastRow="0" w:noHBand="0" w:noVBand="1" w:val="04A0"/>
        <w:tblBorders>
          <w:top w:val="single" w:sz="4" w:space="0" w:color="D2D6E4"/>
          <w:left w:val="single" w:sz="4" w:space="0" w:color="D2D6E4"/>
          <w:bottom w:val="single" w:sz="4" w:space="0" w:color="D2D6E4"/>
          <w:right w:val="single" w:sz="4" w:space="0" w:color="D2D6E4"/>
          <w:insideH w:val="single" w:sz="4" w:space="0" w:color="D2D6E4"/>
          <w:insideV w:val="single" w:sz="4" w:space="0" w:color="D2D6E4"/>
        </w:tblBorders>
      </w:tblPr>
      <w:tblGrid>
        <w:gridCol w:w="4873"/>
        <w:gridCol w:w="4873"/>
      </w:tblGrid>
      <w:tr>
        <w:tc>
          <w:tcPr>
            <w:tcW w:type="dxa" w:w="6236"/>
            <w:shd w:val="clear" w:fill="12325A"/>
          </w:tcPr>
          <w:p>
            <w:r>
              <w:rPr>
                <w:b/>
                <w:color w:val="FFFFFF"/>
                <w:sz w:val="19"/>
              </w:rPr>
              <w:t>Partida</w:t>
            </w:r>
          </w:p>
        </w:tc>
        <w:tc>
          <w:tcPr>
            <w:tcW w:type="dxa" w:w="2835"/>
            <w:shd w:val="clear" w:fill="12325A"/>
          </w:tcPr>
          <w:p>
            <w:r>
              <w:rPr>
                <w:b/>
                <w:color w:val="FFFFFF"/>
                <w:sz w:val="19"/>
              </w:rPr>
              <w:t>Importe</w:t>
            </w:r>
          </w:p>
        </w:tc>
      </w:tr>
      <w:tr>
        <w:tc>
          <w:tcPr>
            <w:tcW w:type="dxa" w:w="6236"/>
          </w:tcPr>
          <w:p>
            <w:r>
              <w:rPr>
                <w:b w:val="0"/>
                <w:color w:val="3A4260"/>
                <w:sz w:val="20"/>
              </w:rPr>
              <w:t>Climatización, agua y renovación de aire</w:t>
            </w:r>
          </w:p>
        </w:tc>
        <w:tc>
          <w:tcPr>
            <w:tcW w:type="dxa" w:w="2835"/>
          </w:tcPr>
          <w:p>
            <w:r>
              <w:rPr>
                <w:b w:val="0"/>
                <w:color w:val="3A4260"/>
                <w:sz w:val="20"/>
              </w:rPr>
              <w:t>77.740 €</w:t>
            </w:r>
          </w:p>
        </w:tc>
      </w:tr>
      <w:tr>
        <w:tc>
          <w:tcPr>
            <w:tcW w:type="dxa" w:w="6236"/>
          </w:tcPr>
          <w:p>
            <w:r>
              <w:rPr>
                <w:b w:val="0"/>
                <w:color w:val="3A4260"/>
                <w:sz w:val="20"/>
              </w:rPr>
              <w:t>Instalación eléctrica y contraincendios</w:t>
            </w:r>
          </w:p>
        </w:tc>
        <w:tc>
          <w:tcPr>
            <w:tcW w:type="dxa" w:w="2835"/>
          </w:tcPr>
          <w:p>
            <w:r>
              <w:rPr>
                <w:b w:val="0"/>
                <w:color w:val="3A4260"/>
                <w:sz w:val="20"/>
              </w:rPr>
              <w:t>47.863 €</w:t>
            </w:r>
          </w:p>
        </w:tc>
      </w:tr>
      <w:tr>
        <w:tc>
          <w:tcPr>
            <w:tcW w:type="dxa" w:w="6236"/>
          </w:tcPr>
          <w:p>
            <w:r>
              <w:rPr>
                <w:b w:val="0"/>
                <w:color w:val="3A4260"/>
                <w:sz w:val="20"/>
              </w:rPr>
              <w:t>Maquinaria, aduana y transporte</w:t>
            </w:r>
          </w:p>
        </w:tc>
        <w:tc>
          <w:tcPr>
            <w:tcW w:type="dxa" w:w="2835"/>
          </w:tcPr>
          <w:p>
            <w:r>
              <w:rPr>
                <w:b w:val="0"/>
                <w:color w:val="3A4260"/>
                <w:sz w:val="20"/>
              </w:rPr>
              <w:t>48.789 €</w:t>
            </w:r>
          </w:p>
        </w:tc>
      </w:tr>
      <w:tr>
        <w:tc>
          <w:tcPr>
            <w:tcW w:type="dxa" w:w="6236"/>
          </w:tcPr>
          <w:p>
            <w:r>
              <w:rPr>
                <w:b w:val="0"/>
                <w:color w:val="3A4260"/>
                <w:sz w:val="20"/>
              </w:rPr>
              <w:t>Vestuarios, suelo y acabados</w:t>
            </w:r>
          </w:p>
        </w:tc>
        <w:tc>
          <w:tcPr>
            <w:tcW w:type="dxa" w:w="2835"/>
          </w:tcPr>
          <w:p>
            <w:r>
              <w:rPr>
                <w:b w:val="0"/>
                <w:color w:val="3A4260"/>
                <w:sz w:val="20"/>
              </w:rPr>
              <w:t>66.284 €</w:t>
            </w:r>
          </w:p>
        </w:tc>
      </w:tr>
      <w:tr>
        <w:tc>
          <w:tcPr>
            <w:tcW w:type="dxa" w:w="6236"/>
          </w:tcPr>
          <w:p>
            <w:r>
              <w:rPr>
                <w:b w:val="0"/>
                <w:color w:val="3A4260"/>
                <w:sz w:val="20"/>
              </w:rPr>
              <w:t>Accesos, rótulos y obra final</w:t>
            </w:r>
          </w:p>
        </w:tc>
        <w:tc>
          <w:tcPr>
            <w:tcW w:type="dxa" w:w="2835"/>
          </w:tcPr>
          <w:p>
            <w:r>
              <w:rPr>
                <w:b w:val="0"/>
                <w:color w:val="3A4260"/>
                <w:sz w:val="20"/>
              </w:rPr>
              <w:t>68.043 €</w:t>
            </w:r>
          </w:p>
        </w:tc>
      </w:tr>
      <w:tr>
        <w:tc>
          <w:tcPr>
            <w:tcW w:type="dxa" w:w="6236"/>
            <w:shd w:val="clear" w:fill="F6F8FC"/>
          </w:tcPr>
          <w:p>
            <w:r>
              <w:rPr>
                <w:b/>
                <w:color w:val="12325A"/>
                <w:sz w:val="20"/>
              </w:rPr>
              <w:t>TOTAL PENDIENTE DE PAGO</w:t>
            </w:r>
          </w:p>
        </w:tc>
        <w:tc>
          <w:tcPr>
            <w:tcW w:type="dxa" w:w="2835"/>
            <w:shd w:val="clear" w:fill="F6F8FC"/>
          </w:tcPr>
          <w:p>
            <w:r>
              <w:rPr>
                <w:b/>
                <w:color w:val="12325A"/>
                <w:sz w:val="20"/>
              </w:rPr>
              <w:t>308.720 €</w:t>
            </w:r>
          </w:p>
        </w:tc>
      </w:tr>
    </w:tbl>
    <w:p>
      <w:pPr>
        <w:spacing w:after="40"/>
      </w:pPr>
    </w:p>
    <w:p>
      <w:pPr>
        <w:keepNext/>
        <w:spacing w:before="320" w:after="120"/>
        <w:pBdr>
          <w:bottom w:val="single" w:sz="6" w:space="2" w:color="E4E7F0"/>
        </w:pBdr>
      </w:pPr>
      <w:r>
        <w:rPr>
          <w:b/>
          <w:color w:val="12325A"/>
          <w:sz w:val="26"/>
        </w:rPr>
        <w:t>4. Instalaciones y plan de explotación</w:t>
      </w:r>
    </w:p>
    <w:p>
      <w:pPr>
        <w:spacing w:after="80"/>
      </w:pPr>
      <w:r>
        <w:rPr>
          <w:b w:val="0"/>
          <w:i w:val="0"/>
          <w:color w:val="3A4260"/>
          <w:sz w:val="21"/>
        </w:rPr>
        <w:t>El centro dispone de 2.000 m² en total: 1.000 m² en planta baja (gimnasio) y 1.000 m² en planta superior, con un plan de usos diversificado: cafetería fitness, espacio de coworking, vestuarios adicionales, zona de artes marciales, zona Airbox, zona de pilates reformer y dos salas para fisioterapia, nutrición u otras actividades de ciencia del deporte.</w:t>
      </w:r>
    </w:p>
    <w:p>
      <w:pPr>
        <w:spacing w:after="120"/>
      </w:pPr>
      <w:r>
        <w:rPr>
          <w:b w:val="0"/>
          <w:i w:val="0"/>
          <w:color w:val="3A4260"/>
          <w:sz w:val="21"/>
        </w:rPr>
        <w:t>La planta superior se explotará mediante profesionales autónomos, no como personal contratado por la sociedad, diversificando ingresos sin incrementar el coste fijo. Esta superficie no está incluida en la proyección de ingresos del punto 6: representa recorrido adicional sobre las cifras proyectadas.</w:t>
      </w:r>
    </w:p>
    <w:p>
      <w:pPr>
        <w:keepNext/>
        <w:spacing w:before="320" w:after="120"/>
        <w:pBdr>
          <w:bottom w:val="single" w:sz="6" w:space="2" w:color="E4E7F0"/>
        </w:pBdr>
      </w:pPr>
      <w:r>
        <w:rPr>
          <w:b/>
          <w:color w:val="12325A"/>
          <w:sz w:val="26"/>
        </w:rPr>
        <w:t>5. Modelo de negocio</w:t>
      </w:r>
    </w:p>
    <w:p>
      <w:pPr>
        <w:spacing w:after="80"/>
      </w:pPr>
      <w:r>
        <w:rPr>
          <w:b w:val="0"/>
          <w:i w:val="0"/>
          <w:color w:val="3A4260"/>
          <w:sz w:val="21"/>
        </w:rPr>
        <w:t>Ingresos recurrentes por cuotas de socio. Cuota media estimada de 50 €/mes. Alquiler del local: 2.600 €/mes más impuestos, en contrato estable con la propiedad. A la fecha, y sin haber abierto todavía, el proyecto cuenta ya con 230 socios preinscritos, cifra que sigue creciendo. Estos 230 socios empiezan a facturar el mismo día de la apertura.</w:t>
      </w:r>
    </w:p>
    <w:p>
      <w:pPr>
        <w:spacing w:after="80"/>
      </w:pPr>
      <w:r>
        <w:rPr>
          <w:b w:val="0"/>
          <w:i w:val="0"/>
          <w:color w:val="3A4260"/>
          <w:sz w:val="21"/>
        </w:rPr>
        <w:t>Punto de equilibrio: con 220 socios activos se cubren los gastos operativos del centro. Incluyendo el servicio de la deuda, el punto de equilibrio se sitúa en torno a 300 socios.</w:t>
      </w:r>
    </w:p>
    <w:p>
      <w:pPr>
        <w:spacing w:after="120"/>
      </w:pPr>
      <w:r>
        <w:rPr>
          <w:b w:val="0"/>
          <w:i w:val="0"/>
          <w:color w:val="697089"/>
          <w:sz w:val="20"/>
        </w:rPr>
        <w:t>Mercado de referencia: aproximadamente 130.000 habitantes en un radio de 20 km alrededor del centro. Apertura prevista en octubre de 2026.</w:t>
      </w:r>
    </w:p>
    <w:p>
      <w:pPr>
        <w:keepNext/>
        <w:spacing w:before="320" w:after="120"/>
        <w:pBdr>
          <w:bottom w:val="single" w:sz="6" w:space="2" w:color="E4E7F0"/>
        </w:pBdr>
      </w:pPr>
      <w:r>
        <w:rPr>
          <w:b/>
          <w:color w:val="12325A"/>
          <w:sz w:val="26"/>
        </w:rPr>
        <w:t>6. Estructura de personal</w:t>
      </w:r>
    </w:p>
    <w:p>
      <w:pPr>
        <w:spacing w:after="120"/>
      </w:pPr>
      <w:r>
        <w:rPr>
          <w:b w:val="0"/>
          <w:i w:val="0"/>
          <w:color w:val="3A4260"/>
          <w:sz w:val="21"/>
        </w:rPr>
        <w:t>La filosofía del proyecto es automatizar la operativa del centro para mantener el equipo al mínimo imprescindible. El administrador, Sergi Caro Folch, compagina su cargo con la actividad diaria del centro como trabajador. El equipo operativo previsto es de 3 personas (el administrador más dos empleados). La limpieza se externaliza a una empresa especializada.</w:t>
      </w:r>
    </w:p>
    <w:p>
      <w:pPr>
        <w:keepNext/>
        <w:spacing w:before="320" w:after="120"/>
        <w:pBdr>
          <w:bottom w:val="single" w:sz="6" w:space="2" w:color="E4E7F0"/>
        </w:pBdr>
      </w:pPr>
      <w:r>
        <w:rPr>
          <w:b/>
          <w:color w:val="12325A"/>
          <w:sz w:val="26"/>
        </w:rPr>
        <w:t>7. Cuenta de resultados proyectada</w:t>
      </w:r>
    </w:p>
    <w:tbl>
      <w:tblPr>
        <w:tblW w:type="auto" w:w="0"/>
        <w:jc w:val="center"/>
        <w:tblLook w:firstColumn="1" w:firstRow="1" w:lastColumn="0" w:lastRow="0" w:noHBand="0" w:noVBand="1" w:val="04A0"/>
        <w:tblBorders>
          <w:top w:val="single" w:sz="4" w:space="0" w:color="D2D6E4"/>
          <w:left w:val="single" w:sz="4" w:space="0" w:color="D2D6E4"/>
          <w:bottom w:val="single" w:sz="4" w:space="0" w:color="D2D6E4"/>
          <w:right w:val="single" w:sz="4" w:space="0" w:color="D2D6E4"/>
          <w:insideH w:val="single" w:sz="4" w:space="0" w:color="D2D6E4"/>
          <w:insideV w:val="single" w:sz="4" w:space="0" w:color="D2D6E4"/>
        </w:tblBorders>
      </w:tblPr>
      <w:tblGrid>
        <w:gridCol w:w="2436"/>
        <w:gridCol w:w="2436"/>
        <w:gridCol w:w="2436"/>
        <w:gridCol w:w="2436"/>
      </w:tblGrid>
      <w:tr>
        <w:tc>
          <w:tcPr>
            <w:tcW w:type="dxa" w:w="3685"/>
            <w:shd w:val="clear" w:fill="12325A"/>
          </w:tcPr>
          <w:p>
            <w:r>
              <w:rPr>
                <w:b/>
                <w:color w:val="FFFFFF"/>
                <w:sz w:val="19"/>
              </w:rPr>
              <w:t>Concepto</w:t>
            </w:r>
          </w:p>
        </w:tc>
        <w:tc>
          <w:tcPr>
            <w:tcW w:type="dxa" w:w="1814"/>
            <w:shd w:val="clear" w:fill="12325A"/>
          </w:tcPr>
          <w:p>
            <w:r>
              <w:rPr>
                <w:b/>
                <w:color w:val="FFFFFF"/>
                <w:sz w:val="19"/>
              </w:rPr>
              <w:t>Año 1</w:t>
            </w:r>
          </w:p>
        </w:tc>
        <w:tc>
          <w:tcPr>
            <w:tcW w:type="dxa" w:w="1814"/>
            <w:shd w:val="clear" w:fill="12325A"/>
          </w:tcPr>
          <w:p>
            <w:r>
              <w:rPr>
                <w:b/>
                <w:color w:val="FFFFFF"/>
                <w:sz w:val="19"/>
              </w:rPr>
              <w:t>Año 2</w:t>
            </w:r>
          </w:p>
        </w:tc>
        <w:tc>
          <w:tcPr>
            <w:tcW w:type="dxa" w:w="1814"/>
            <w:shd w:val="clear" w:fill="12325A"/>
          </w:tcPr>
          <w:p>
            <w:r>
              <w:rPr>
                <w:b/>
                <w:color w:val="FFFFFF"/>
                <w:sz w:val="19"/>
              </w:rPr>
              <w:t>Año 3</w:t>
            </w:r>
          </w:p>
        </w:tc>
      </w:tr>
      <w:tr>
        <w:tc>
          <w:tcPr>
            <w:tcW w:type="dxa" w:w="3685"/>
          </w:tcPr>
          <w:p>
            <w:r>
              <w:rPr>
                <w:b w:val="0"/>
                <w:color w:val="3A4260"/>
                <w:sz w:val="20"/>
              </w:rPr>
              <w:t>Socios activos (media)</w:t>
            </w:r>
          </w:p>
        </w:tc>
        <w:tc>
          <w:tcPr>
            <w:tcW w:type="dxa" w:w="1814"/>
          </w:tcPr>
          <w:p>
            <w:r>
              <w:rPr>
                <w:b w:val="0"/>
                <w:color w:val="3A4260"/>
                <w:sz w:val="20"/>
              </w:rPr>
              <w:t>600</w:t>
            </w:r>
          </w:p>
        </w:tc>
        <w:tc>
          <w:tcPr>
            <w:tcW w:type="dxa" w:w="1814"/>
          </w:tcPr>
          <w:p>
            <w:r>
              <w:rPr>
                <w:b w:val="0"/>
                <w:color w:val="3A4260"/>
                <w:sz w:val="20"/>
              </w:rPr>
              <w:t>800</w:t>
            </w:r>
          </w:p>
        </w:tc>
        <w:tc>
          <w:tcPr>
            <w:tcW w:type="dxa" w:w="1814"/>
          </w:tcPr>
          <w:p>
            <w:r>
              <w:rPr>
                <w:b w:val="0"/>
                <w:color w:val="3A4260"/>
                <w:sz w:val="20"/>
              </w:rPr>
              <w:t>1.050</w:t>
            </w:r>
          </w:p>
        </w:tc>
      </w:tr>
      <w:tr>
        <w:tc>
          <w:tcPr>
            <w:tcW w:type="dxa" w:w="3685"/>
          </w:tcPr>
          <w:p>
            <w:r>
              <w:rPr>
                <w:b w:val="0"/>
                <w:color w:val="3A4260"/>
                <w:sz w:val="20"/>
              </w:rPr>
              <w:t>Ingresos por cuotas</w:t>
            </w:r>
          </w:p>
        </w:tc>
        <w:tc>
          <w:tcPr>
            <w:tcW w:type="dxa" w:w="1814"/>
          </w:tcPr>
          <w:p>
            <w:r>
              <w:rPr>
                <w:b w:val="0"/>
                <w:color w:val="3A4260"/>
                <w:sz w:val="20"/>
              </w:rPr>
              <w:t>332.400 €</w:t>
            </w:r>
          </w:p>
        </w:tc>
        <w:tc>
          <w:tcPr>
            <w:tcW w:type="dxa" w:w="1814"/>
          </w:tcPr>
          <w:p>
            <w:r>
              <w:rPr>
                <w:b w:val="0"/>
                <w:color w:val="3A4260"/>
                <w:sz w:val="20"/>
              </w:rPr>
              <w:t>452.400 €</w:t>
            </w:r>
          </w:p>
        </w:tc>
        <w:tc>
          <w:tcPr>
            <w:tcW w:type="dxa" w:w="1814"/>
          </w:tcPr>
          <w:p>
            <w:r>
              <w:rPr>
                <w:b w:val="0"/>
                <w:color w:val="3A4260"/>
                <w:sz w:val="20"/>
              </w:rPr>
              <w:t>602.400 €</w:t>
            </w:r>
          </w:p>
        </w:tc>
      </w:tr>
      <w:tr>
        <w:tc>
          <w:tcPr>
            <w:tcW w:type="dxa" w:w="3685"/>
          </w:tcPr>
          <w:p>
            <w:r>
              <w:rPr>
                <w:b w:val="0"/>
                <w:color w:val="3A4260"/>
                <w:sz w:val="20"/>
              </w:rPr>
              <w:t>Alquiler del local</w:t>
            </w:r>
          </w:p>
        </w:tc>
        <w:tc>
          <w:tcPr>
            <w:tcW w:type="dxa" w:w="1814"/>
          </w:tcPr>
          <w:p>
            <w:r>
              <w:rPr>
                <w:b w:val="0"/>
                <w:color w:val="3A4260"/>
                <w:sz w:val="20"/>
              </w:rPr>
              <w:t>−31.200 €</w:t>
            </w:r>
          </w:p>
        </w:tc>
        <w:tc>
          <w:tcPr>
            <w:tcW w:type="dxa" w:w="1814"/>
          </w:tcPr>
          <w:p>
            <w:r>
              <w:rPr>
                <w:b w:val="0"/>
                <w:color w:val="3A4260"/>
                <w:sz w:val="20"/>
              </w:rPr>
              <w:t>−31.200 €</w:t>
            </w:r>
          </w:p>
        </w:tc>
        <w:tc>
          <w:tcPr>
            <w:tcW w:type="dxa" w:w="1814"/>
          </w:tcPr>
          <w:p>
            <w:r>
              <w:rPr>
                <w:b w:val="0"/>
                <w:color w:val="3A4260"/>
                <w:sz w:val="20"/>
              </w:rPr>
              <w:t>−31.200 €</w:t>
            </w:r>
          </w:p>
        </w:tc>
      </w:tr>
      <w:tr>
        <w:tc>
          <w:tcPr>
            <w:tcW w:type="dxa" w:w="3685"/>
          </w:tcPr>
          <w:p>
            <w:r>
              <w:rPr>
                <w:b w:val="0"/>
                <w:color w:val="3A4260"/>
                <w:sz w:val="20"/>
              </w:rPr>
              <w:t>Personal</w:t>
            </w:r>
          </w:p>
        </w:tc>
        <w:tc>
          <w:tcPr>
            <w:tcW w:type="dxa" w:w="1814"/>
          </w:tcPr>
          <w:p>
            <w:r>
              <w:rPr>
                <w:b w:val="0"/>
                <w:color w:val="3A4260"/>
                <w:sz w:val="20"/>
              </w:rPr>
              <w:t>−60.000 €</w:t>
            </w:r>
          </w:p>
        </w:tc>
        <w:tc>
          <w:tcPr>
            <w:tcW w:type="dxa" w:w="1814"/>
          </w:tcPr>
          <w:p>
            <w:r>
              <w:rPr>
                <w:b w:val="0"/>
                <w:color w:val="3A4260"/>
                <w:sz w:val="20"/>
              </w:rPr>
              <w:t>−78.000 €</w:t>
            </w:r>
          </w:p>
        </w:tc>
        <w:tc>
          <w:tcPr>
            <w:tcW w:type="dxa" w:w="1814"/>
          </w:tcPr>
          <w:p>
            <w:r>
              <w:rPr>
                <w:b w:val="0"/>
                <w:color w:val="3A4260"/>
                <w:sz w:val="20"/>
              </w:rPr>
              <w:t>−95.000 €</w:t>
            </w:r>
          </w:p>
        </w:tc>
      </w:tr>
      <w:tr>
        <w:tc>
          <w:tcPr>
            <w:tcW w:type="dxa" w:w="3685"/>
          </w:tcPr>
          <w:p>
            <w:r>
              <w:rPr>
                <w:b w:val="0"/>
                <w:color w:val="3A4260"/>
                <w:sz w:val="20"/>
              </w:rPr>
              <w:t>Otros gastos de explotación</w:t>
            </w:r>
          </w:p>
        </w:tc>
        <w:tc>
          <w:tcPr>
            <w:tcW w:type="dxa" w:w="1814"/>
          </w:tcPr>
          <w:p>
            <w:r>
              <w:rPr>
                <w:b w:val="0"/>
                <w:color w:val="3A4260"/>
                <w:sz w:val="20"/>
              </w:rPr>
              <w:t>−83.100 €</w:t>
            </w:r>
          </w:p>
        </w:tc>
        <w:tc>
          <w:tcPr>
            <w:tcW w:type="dxa" w:w="1814"/>
          </w:tcPr>
          <w:p>
            <w:r>
              <w:rPr>
                <w:b w:val="0"/>
                <w:color w:val="3A4260"/>
                <w:sz w:val="20"/>
              </w:rPr>
              <w:t>−113.100 €</w:t>
            </w:r>
          </w:p>
        </w:tc>
        <w:tc>
          <w:tcPr>
            <w:tcW w:type="dxa" w:w="1814"/>
          </w:tcPr>
          <w:p>
            <w:r>
              <w:rPr>
                <w:b w:val="0"/>
                <w:color w:val="3A4260"/>
                <w:sz w:val="20"/>
              </w:rPr>
              <w:t>−150.600 €</w:t>
            </w:r>
          </w:p>
        </w:tc>
      </w:tr>
      <w:tr>
        <w:tc>
          <w:tcPr>
            <w:tcW w:type="dxa" w:w="3685"/>
            <w:shd w:val="clear" w:fill="F6F8FC"/>
          </w:tcPr>
          <w:p>
            <w:r>
              <w:rPr>
                <w:b/>
                <w:color w:val="12325A"/>
                <w:sz w:val="20"/>
              </w:rPr>
              <w:t>EBITDA</w:t>
            </w:r>
          </w:p>
        </w:tc>
        <w:tc>
          <w:tcPr>
            <w:tcW w:type="dxa" w:w="1814"/>
            <w:shd w:val="clear" w:fill="F6F8FC"/>
          </w:tcPr>
          <w:p>
            <w:r>
              <w:rPr>
                <w:b/>
                <w:color w:val="12325A"/>
                <w:sz w:val="20"/>
              </w:rPr>
              <w:t>158.100 €</w:t>
            </w:r>
          </w:p>
        </w:tc>
        <w:tc>
          <w:tcPr>
            <w:tcW w:type="dxa" w:w="1814"/>
            <w:shd w:val="clear" w:fill="F6F8FC"/>
          </w:tcPr>
          <w:p>
            <w:r>
              <w:rPr>
                <w:b/>
                <w:color w:val="12325A"/>
                <w:sz w:val="20"/>
              </w:rPr>
              <w:t>230.100 €</w:t>
            </w:r>
          </w:p>
        </w:tc>
        <w:tc>
          <w:tcPr>
            <w:tcW w:type="dxa" w:w="1814"/>
            <w:shd w:val="clear" w:fill="F6F8FC"/>
          </w:tcPr>
          <w:p>
            <w:r>
              <w:rPr>
                <w:b/>
                <w:color w:val="12325A"/>
                <w:sz w:val="20"/>
              </w:rPr>
              <w:t>325.600 €</w:t>
            </w:r>
          </w:p>
        </w:tc>
      </w:tr>
    </w:tbl>
    <w:p>
      <w:pPr>
        <w:spacing w:after="40"/>
      </w:pPr>
    </w:p>
    <w:p>
      <w:pPr>
        <w:spacing w:after="120"/>
      </w:pPr>
      <w:r>
        <w:rPr>
          <w:b w:val="0"/>
          <w:i w:val="0"/>
          <w:color w:val="697089"/>
          <w:sz w:val="19"/>
        </w:rPr>
        <w:t>Cifras estimadas a partir del plan de negocio. No incluyen los ingresos de la planta superior (punto 4). No constituyen garantía de resultados.</w:t>
      </w:r>
    </w:p>
    <w:p>
      <w:pPr>
        <w:keepNext/>
        <w:spacing w:before="320" w:after="120"/>
        <w:pBdr>
          <w:bottom w:val="single" w:sz="6" w:space="2" w:color="E4E7F0"/>
        </w:pBdr>
      </w:pPr>
      <w:r>
        <w:rPr>
          <w:b/>
          <w:color w:val="12325A"/>
          <w:sz w:val="26"/>
        </w:rPr>
        <w:t>8. Vías para participar en la operación</w:t>
      </w:r>
    </w:p>
    <w:p>
      <w:pPr>
        <w:spacing w:after="80"/>
      </w:pPr>
      <w:r>
        <w:rPr>
          <w:b w:val="0"/>
          <w:i w:val="0"/>
          <w:color w:val="3A4260"/>
          <w:sz w:val="21"/>
        </w:rPr>
        <w:t>La financiación puede cubrirse mediante dos vías, no excluyentes entre sí. Las condiciones concretas de cada operación se acuerdan individualmente con cada parte.</w:t>
      </w:r>
    </w:p>
    <w:p>
      <w:pPr>
        <w:keepNext/>
        <w:spacing w:before="200" w:after="80"/>
      </w:pPr>
      <w:r>
        <w:rPr>
          <w:b/>
          <w:color w:val="141A2B"/>
          <w:sz w:val="22"/>
        </w:rPr>
        <w:t>A) Aportación de capital</w:t>
      </w:r>
    </w:p>
    <w:p>
      <w:pPr>
        <w:pStyle w:val="ListBullet"/>
        <w:spacing w:after="60"/>
      </w:pPr>
      <w:r>
        <w:rPr>
          <w:color w:val="3A4260"/>
          <w:sz w:val="21"/>
        </w:rPr>
        <w:t>El inversor entra en el capital social mediante ampliación de capital.</w:t>
      </w:r>
    </w:p>
    <w:p>
      <w:pPr>
        <w:pStyle w:val="ListBullet"/>
        <w:spacing w:after="60"/>
      </w:pPr>
      <w:r>
        <w:rPr>
          <w:color w:val="3A4260"/>
          <w:sz w:val="21"/>
        </w:rPr>
        <w:t>Pasa a ser socio de la sociedad, con derecho a participar en los resultados futuros.</w:t>
      </w:r>
    </w:p>
    <w:p>
      <w:pPr>
        <w:pStyle w:val="ListBullet"/>
        <w:spacing w:after="60"/>
      </w:pPr>
      <w:r>
        <w:rPr>
          <w:color w:val="3A4260"/>
          <w:sz w:val="21"/>
        </w:rPr>
        <w:t>Importe y condiciones a concretar en función del acuerdo alcanzado.</w:t>
      </w:r>
    </w:p>
    <w:p>
      <w:pPr>
        <w:pStyle w:val="ListBullet"/>
        <w:spacing w:after="60"/>
      </w:pPr>
      <w:r>
        <w:rPr>
          <w:color w:val="3A4260"/>
          <w:sz w:val="21"/>
        </w:rPr>
        <w:t>Se formaliza mediante escritura pública ante notario e inscripción en el Registro Mercantil.</w:t>
      </w:r>
    </w:p>
    <w:p>
      <w:pPr>
        <w:keepNext/>
        <w:spacing w:before="200" w:after="80"/>
      </w:pPr>
      <w:r>
        <w:rPr>
          <w:b/>
          <w:color w:val="141A2B"/>
          <w:sz w:val="22"/>
        </w:rPr>
        <w:t>B) Préstamo</w:t>
      </w:r>
    </w:p>
    <w:p>
      <w:pPr>
        <w:pStyle w:val="ListBullet"/>
        <w:spacing w:after="60"/>
      </w:pPr>
      <w:r>
        <w:rPr>
          <w:color w:val="3A4260"/>
          <w:sz w:val="21"/>
        </w:rPr>
        <w:t>El inversor aporta capital en forma de deuda, no de participación.</w:t>
      </w:r>
    </w:p>
    <w:p>
      <w:pPr>
        <w:pStyle w:val="ListBullet"/>
        <w:spacing w:after="60"/>
      </w:pPr>
      <w:r>
        <w:rPr>
          <w:color w:val="3A4260"/>
          <w:sz w:val="21"/>
        </w:rPr>
        <w:t>Devolución del principal más interés pactado, en el plazo acordado.</w:t>
      </w:r>
    </w:p>
    <w:p>
      <w:pPr>
        <w:pStyle w:val="ListBullet"/>
        <w:spacing w:after="60"/>
      </w:pPr>
      <w:r>
        <w:rPr>
          <w:color w:val="3A4260"/>
          <w:sz w:val="21"/>
        </w:rPr>
        <w:t>La propiedad de la sociedad no se ve alterada.</w:t>
      </w:r>
    </w:p>
    <w:p>
      <w:pPr>
        <w:pStyle w:val="ListBullet"/>
        <w:spacing w:after="60"/>
      </w:pPr>
      <w:r>
        <w:rPr>
          <w:color w:val="3A4260"/>
          <w:sz w:val="21"/>
        </w:rPr>
        <w:t>Puede reforzarse con garantías adicionales (ver punto 9).</w:t>
      </w:r>
    </w:p>
    <w:p>
      <w:pPr>
        <w:keepNext/>
        <w:spacing w:before="320" w:after="120"/>
        <w:pBdr>
          <w:bottom w:val="single" w:sz="6" w:space="2" w:color="E4E7F0"/>
        </w:pBdr>
      </w:pPr>
      <w:r>
        <w:rPr>
          <w:b/>
          <w:color w:val="12325A"/>
          <w:sz w:val="26"/>
        </w:rPr>
        <w:t>9. Capacidad de repago (vía préstamo)</w:t>
      </w:r>
    </w:p>
    <w:p>
      <w:pPr>
        <w:spacing w:after="80"/>
      </w:pPr>
      <w:r>
        <w:rPr>
          <w:b w:val="0"/>
          <w:i w:val="0"/>
          <w:color w:val="3A4260"/>
          <w:sz w:val="21"/>
        </w:rPr>
        <w:t>A modo orientativo, cuota anual y cobertura del servicio de la deuda (EBITDA proyectado entre cuota anual) para distintos importes y plazos. El tipo de interés final se pactará entre las partes.</w:t>
      </w:r>
    </w:p>
    <w:tbl>
      <w:tblPr>
        <w:tblW w:type="auto" w:w="0"/>
        <w:jc w:val="center"/>
        <w:tblLook w:firstColumn="1" w:firstRow="1" w:lastColumn="0" w:lastRow="0" w:noHBand="0" w:noVBand="1" w:val="04A0"/>
        <w:tblBorders>
          <w:top w:val="single" w:sz="4" w:space="0" w:color="D2D6E4"/>
          <w:left w:val="single" w:sz="4" w:space="0" w:color="D2D6E4"/>
          <w:bottom w:val="single" w:sz="4" w:space="0" w:color="D2D6E4"/>
          <w:right w:val="single" w:sz="4" w:space="0" w:color="D2D6E4"/>
          <w:insideH w:val="single" w:sz="4" w:space="0" w:color="D2D6E4"/>
          <w:insideV w:val="single" w:sz="4" w:space="0" w:color="D2D6E4"/>
        </w:tblBorders>
      </w:tblPr>
      <w:tblGrid>
        <w:gridCol w:w="1949"/>
        <w:gridCol w:w="1949"/>
        <w:gridCol w:w="1949"/>
        <w:gridCol w:w="1949"/>
        <w:gridCol w:w="1949"/>
      </w:tblGrid>
      <w:tr>
        <w:tc>
          <w:tcPr>
            <w:tcW w:type="dxa" w:w="1814"/>
            <w:shd w:val="clear" w:fill="12325A"/>
          </w:tcPr>
          <w:p>
            <w:r>
              <w:rPr>
                <w:b/>
                <w:color w:val="FFFFFF"/>
                <w:sz w:val="19"/>
              </w:rPr>
              <w:t>Importe</w:t>
            </w:r>
          </w:p>
        </w:tc>
        <w:tc>
          <w:tcPr>
            <w:tcW w:type="dxa" w:w="1587"/>
            <w:shd w:val="clear" w:fill="12325A"/>
          </w:tcPr>
          <w:p>
            <w:r>
              <w:rPr>
                <w:b/>
                <w:color w:val="FFFFFF"/>
                <w:sz w:val="19"/>
              </w:rPr>
              <w:t>Plazo</w:t>
            </w:r>
          </w:p>
        </w:tc>
        <w:tc>
          <w:tcPr>
            <w:tcW w:type="dxa" w:w="1984"/>
            <w:shd w:val="clear" w:fill="12325A"/>
          </w:tcPr>
          <w:p>
            <w:r>
              <w:rPr>
                <w:b/>
                <w:color w:val="FFFFFF"/>
                <w:sz w:val="19"/>
              </w:rPr>
              <w:t>Cuota anual (est.)</w:t>
            </w:r>
          </w:p>
        </w:tc>
        <w:tc>
          <w:tcPr>
            <w:tcW w:type="dxa" w:w="1814"/>
            <w:shd w:val="clear" w:fill="12325A"/>
          </w:tcPr>
          <w:p>
            <w:r>
              <w:rPr>
                <w:b/>
                <w:color w:val="FFFFFF"/>
                <w:sz w:val="19"/>
              </w:rPr>
              <w:t>Cobertura Año 1</w:t>
            </w:r>
          </w:p>
        </w:tc>
        <w:tc>
          <w:tcPr>
            <w:tcW w:type="dxa" w:w="1871"/>
            <w:shd w:val="clear" w:fill="12325A"/>
          </w:tcPr>
          <w:p>
            <w:r>
              <w:rPr>
                <w:b/>
                <w:color w:val="FFFFFF"/>
                <w:sz w:val="19"/>
              </w:rPr>
              <w:t>Cobertura Año 3</w:t>
            </w:r>
          </w:p>
        </w:tc>
      </w:tr>
      <w:tr>
        <w:tc>
          <w:tcPr>
            <w:tcW w:type="dxa" w:w="1814"/>
          </w:tcPr>
          <w:p>
            <w:r>
              <w:rPr>
                <w:b w:val="0"/>
                <w:color w:val="3A4260"/>
                <w:sz w:val="20"/>
              </w:rPr>
              <w:t>100.000 €</w:t>
            </w:r>
          </w:p>
        </w:tc>
        <w:tc>
          <w:tcPr>
            <w:tcW w:type="dxa" w:w="1587"/>
          </w:tcPr>
          <w:p>
            <w:r>
              <w:rPr>
                <w:b w:val="0"/>
                <w:color w:val="3A4260"/>
                <w:sz w:val="20"/>
              </w:rPr>
              <w:t>7 años</w:t>
            </w:r>
          </w:p>
        </w:tc>
        <w:tc>
          <w:tcPr>
            <w:tcW w:type="dxa" w:w="1984"/>
          </w:tcPr>
          <w:p>
            <w:r>
              <w:rPr>
                <w:b w:val="0"/>
                <w:color w:val="3A4260"/>
                <w:sz w:val="20"/>
              </w:rPr>
              <w:t>17.900 €</w:t>
            </w:r>
          </w:p>
        </w:tc>
        <w:tc>
          <w:tcPr>
            <w:tcW w:type="dxa" w:w="1814"/>
          </w:tcPr>
          <w:p>
            <w:r>
              <w:rPr>
                <w:b w:val="0"/>
                <w:color w:val="3A4260"/>
                <w:sz w:val="20"/>
              </w:rPr>
              <w:t>8,8×</w:t>
            </w:r>
          </w:p>
        </w:tc>
        <w:tc>
          <w:tcPr>
            <w:tcW w:type="dxa" w:w="1871"/>
          </w:tcPr>
          <w:p>
            <w:r>
              <w:rPr>
                <w:b w:val="0"/>
                <w:color w:val="3A4260"/>
                <w:sz w:val="20"/>
              </w:rPr>
              <w:t>18,2×</w:t>
            </w:r>
          </w:p>
        </w:tc>
      </w:tr>
      <w:tr>
        <w:tc>
          <w:tcPr>
            <w:tcW w:type="dxa" w:w="1814"/>
          </w:tcPr>
          <w:p>
            <w:r>
              <w:rPr>
                <w:b w:val="0"/>
                <w:color w:val="3A4260"/>
                <w:sz w:val="20"/>
              </w:rPr>
              <w:t>150.000 €</w:t>
            </w:r>
          </w:p>
        </w:tc>
        <w:tc>
          <w:tcPr>
            <w:tcW w:type="dxa" w:w="1587"/>
          </w:tcPr>
          <w:p>
            <w:r>
              <w:rPr>
                <w:b w:val="0"/>
                <w:color w:val="3A4260"/>
                <w:sz w:val="20"/>
              </w:rPr>
              <w:t>7 años</w:t>
            </w:r>
          </w:p>
        </w:tc>
        <w:tc>
          <w:tcPr>
            <w:tcW w:type="dxa" w:w="1984"/>
          </w:tcPr>
          <w:p>
            <w:r>
              <w:rPr>
                <w:b w:val="0"/>
                <w:color w:val="3A4260"/>
                <w:sz w:val="20"/>
              </w:rPr>
              <w:t>26.900 €</w:t>
            </w:r>
          </w:p>
        </w:tc>
        <w:tc>
          <w:tcPr>
            <w:tcW w:type="dxa" w:w="1814"/>
          </w:tcPr>
          <w:p>
            <w:r>
              <w:rPr>
                <w:b w:val="0"/>
                <w:color w:val="3A4260"/>
                <w:sz w:val="20"/>
              </w:rPr>
              <w:t>5,9×</w:t>
            </w:r>
          </w:p>
        </w:tc>
        <w:tc>
          <w:tcPr>
            <w:tcW w:type="dxa" w:w="1871"/>
          </w:tcPr>
          <w:p>
            <w:r>
              <w:rPr>
                <w:b w:val="0"/>
                <w:color w:val="3A4260"/>
                <w:sz w:val="20"/>
              </w:rPr>
              <w:t>12,1×</w:t>
            </w:r>
          </w:p>
        </w:tc>
      </w:tr>
      <w:tr>
        <w:tc>
          <w:tcPr>
            <w:tcW w:type="dxa" w:w="1814"/>
          </w:tcPr>
          <w:p>
            <w:r>
              <w:rPr>
                <w:b w:val="0"/>
                <w:color w:val="3A4260"/>
                <w:sz w:val="20"/>
              </w:rPr>
              <w:t>200.000 €</w:t>
            </w:r>
          </w:p>
        </w:tc>
        <w:tc>
          <w:tcPr>
            <w:tcW w:type="dxa" w:w="1587"/>
          </w:tcPr>
          <w:p>
            <w:r>
              <w:rPr>
                <w:b w:val="0"/>
                <w:color w:val="3A4260"/>
                <w:sz w:val="20"/>
              </w:rPr>
              <w:t>10 años</w:t>
            </w:r>
          </w:p>
        </w:tc>
        <w:tc>
          <w:tcPr>
            <w:tcW w:type="dxa" w:w="1984"/>
          </w:tcPr>
          <w:p>
            <w:r>
              <w:rPr>
                <w:b w:val="0"/>
                <w:color w:val="3A4260"/>
                <w:sz w:val="20"/>
              </w:rPr>
              <w:t>27.200 €</w:t>
            </w:r>
          </w:p>
        </w:tc>
        <w:tc>
          <w:tcPr>
            <w:tcW w:type="dxa" w:w="1814"/>
          </w:tcPr>
          <w:p>
            <w:r>
              <w:rPr>
                <w:b w:val="0"/>
                <w:color w:val="3A4260"/>
                <w:sz w:val="20"/>
              </w:rPr>
              <w:t>5,8×</w:t>
            </w:r>
          </w:p>
        </w:tc>
        <w:tc>
          <w:tcPr>
            <w:tcW w:type="dxa" w:w="1871"/>
          </w:tcPr>
          <w:p>
            <w:r>
              <w:rPr>
                <w:b w:val="0"/>
                <w:color w:val="3A4260"/>
                <w:sz w:val="20"/>
              </w:rPr>
              <w:t>12,0×</w:t>
            </w:r>
          </w:p>
        </w:tc>
      </w:tr>
      <w:tr>
        <w:tc>
          <w:tcPr>
            <w:tcW w:type="dxa" w:w="1814"/>
          </w:tcPr>
          <w:p>
            <w:r>
              <w:rPr>
                <w:b w:val="0"/>
                <w:color w:val="3A4260"/>
                <w:sz w:val="20"/>
              </w:rPr>
              <w:t>310.000 €</w:t>
            </w:r>
          </w:p>
        </w:tc>
        <w:tc>
          <w:tcPr>
            <w:tcW w:type="dxa" w:w="1587"/>
          </w:tcPr>
          <w:p>
            <w:r>
              <w:rPr>
                <w:b w:val="0"/>
                <w:color w:val="3A4260"/>
                <w:sz w:val="20"/>
              </w:rPr>
              <w:t>10 años</w:t>
            </w:r>
          </w:p>
        </w:tc>
        <w:tc>
          <w:tcPr>
            <w:tcW w:type="dxa" w:w="1984"/>
          </w:tcPr>
          <w:p>
            <w:r>
              <w:rPr>
                <w:b w:val="0"/>
                <w:color w:val="3A4260"/>
                <w:sz w:val="20"/>
              </w:rPr>
              <w:t>42.100 €</w:t>
            </w:r>
          </w:p>
        </w:tc>
        <w:tc>
          <w:tcPr>
            <w:tcW w:type="dxa" w:w="1814"/>
          </w:tcPr>
          <w:p>
            <w:r>
              <w:rPr>
                <w:b w:val="0"/>
                <w:color w:val="3A4260"/>
                <w:sz w:val="20"/>
              </w:rPr>
              <w:t>3,8×</w:t>
            </w:r>
          </w:p>
        </w:tc>
        <w:tc>
          <w:tcPr>
            <w:tcW w:type="dxa" w:w="1871"/>
          </w:tcPr>
          <w:p>
            <w:r>
              <w:rPr>
                <w:b w:val="0"/>
                <w:color w:val="3A4260"/>
                <w:sz w:val="20"/>
              </w:rPr>
              <w:t>7,7×</w:t>
            </w:r>
          </w:p>
        </w:tc>
      </w:tr>
    </w:tbl>
    <w:p>
      <w:pPr>
        <w:spacing w:after="40"/>
      </w:pPr>
    </w:p>
    <w:p>
      <w:pPr>
        <w:spacing w:after="120"/>
      </w:pPr>
      <w:r>
        <w:rPr>
          <w:b w:val="0"/>
          <w:i w:val="0"/>
          <w:color w:val="697089"/>
          <w:sz w:val="19"/>
        </w:rPr>
        <w:t>Cálculo orientativo con un tipo de interés de referencia moderado, solo a efectos ilustrativos; el tipo definitivo se pactará entre las partes. El servicio de la deuda queda cubierto de forma holgada desde el primer ejercicio en todos los escenarios.</w:t>
      </w:r>
    </w:p>
    <w:p>
      <w:pPr>
        <w:keepNext/>
        <w:spacing w:before="320" w:after="120"/>
        <w:pBdr>
          <w:bottom w:val="single" w:sz="6" w:space="2" w:color="E4E7F0"/>
        </w:pBdr>
      </w:pPr>
      <w:r>
        <w:rPr>
          <w:b/>
          <w:color w:val="12325A"/>
          <w:sz w:val="26"/>
        </w:rPr>
        <w:t>10. Garantías ofrecidas</w:t>
      </w:r>
    </w:p>
    <w:p>
      <w:pPr>
        <w:pStyle w:val="ListBullet"/>
        <w:spacing w:after="60"/>
      </w:pPr>
      <w:r>
        <w:rPr>
          <w:color w:val="3A4260"/>
          <w:sz w:val="21"/>
        </w:rPr>
        <w:t>Aval de Sociedad de Garantía Recíproca (Avalis de Catalunya), en caso de requerirse.</w:t>
      </w:r>
    </w:p>
    <w:p>
      <w:pPr>
        <w:pStyle w:val="ListBullet"/>
        <w:spacing w:after="60"/>
      </w:pPr>
      <w:r>
        <w:rPr>
          <w:color w:val="3A4260"/>
          <w:sz w:val="21"/>
        </w:rPr>
        <w:t>La propia instalación y maquinaria del centro como respaldo del proyecto.</w:t>
      </w:r>
    </w:p>
    <w:p>
      <w:pPr>
        <w:pStyle w:val="ListBullet"/>
        <w:spacing w:after="60"/>
      </w:pPr>
      <w:r>
        <w:rPr>
          <w:color w:val="3A4260"/>
          <w:sz w:val="21"/>
        </w:rPr>
        <w:t>La sociedad, Caro Legión, S.L., como garante de la operación.</w:t>
      </w:r>
    </w:p>
    <w:p>
      <w:pPr>
        <w:pStyle w:val="ListBullet"/>
        <w:spacing w:after="60"/>
      </w:pPr>
      <w:r>
        <w:rPr>
          <w:color w:val="3A4260"/>
          <w:sz w:val="21"/>
        </w:rPr>
        <w:t>Estabilidad del inmueble mediante contrato de arrendamiento a largo plazo con la propiedad.</w:t>
      </w:r>
    </w:p>
    <w:p>
      <w:pPr>
        <w:keepNext/>
        <w:spacing w:before="320" w:after="120"/>
        <w:pBdr>
          <w:bottom w:val="single" w:sz="6" w:space="2" w:color="E4E7F0"/>
        </w:pBdr>
      </w:pPr>
      <w:r>
        <w:rPr>
          <w:b/>
          <w:color w:val="12325A"/>
          <w:sz w:val="26"/>
        </w:rPr>
        <w:t>11. Equipo promotor</w:t>
      </w:r>
    </w:p>
    <w:p>
      <w:pPr>
        <w:spacing w:after="120"/>
      </w:pPr>
      <w:r>
        <w:rPr>
          <w:b w:val="0"/>
          <w:i w:val="0"/>
          <w:color w:val="3A4260"/>
          <w:sz w:val="21"/>
        </w:rPr>
        <w:t>Sociedad familiar de 5 socios. Cuatro de ellos son odontólogos en ejercicio, que aportan solvencia y estabilidad financiera. El administrador, Sergi Caro Folch, es graduado en Administración y Dirección de Empresas (ADE) y profesional del sector del fitness.</w:t>
      </w:r>
    </w:p>
    <w:p>
      <w:pPr>
        <w:keepNext/>
        <w:spacing w:before="320" w:after="120"/>
        <w:pBdr>
          <w:bottom w:val="single" w:sz="6" w:space="2" w:color="E4E7F0"/>
        </w:pBdr>
      </w:pPr>
      <w:r>
        <w:rPr>
          <w:b/>
          <w:color w:val="12325A"/>
          <w:sz w:val="26"/>
        </w:rPr>
        <w:t>12. Puntos fuertes del proyecto</w:t>
      </w:r>
    </w:p>
    <w:p>
      <w:pPr>
        <w:pStyle w:val="ListBullet"/>
        <w:spacing w:after="60"/>
      </w:pPr>
      <w:r>
        <w:rPr>
          <w:color w:val="3A4260"/>
          <w:sz w:val="21"/>
        </w:rPr>
        <w:t>Demanda validada: 230 socios preinscritos antes de la apertura, sin campaña comercial.</w:t>
      </w:r>
    </w:p>
    <w:p>
      <w:pPr>
        <w:pStyle w:val="ListBullet"/>
        <w:spacing w:after="60"/>
      </w:pPr>
      <w:r>
        <w:rPr>
          <w:color w:val="3A4260"/>
          <w:sz w:val="21"/>
        </w:rPr>
        <w:t>Riesgo de obra reducido: la mayor parte de la inversión está contratada y ejecutada.</w:t>
      </w:r>
    </w:p>
    <w:p>
      <w:pPr>
        <w:pStyle w:val="ListBullet"/>
        <w:spacing w:after="60"/>
      </w:pPr>
      <w:r>
        <w:rPr>
          <w:color w:val="3A4260"/>
          <w:sz w:val="21"/>
        </w:rPr>
        <w:t>Mercado amplio: ~130.000 habitantes en un radio de 20 km.</w:t>
      </w:r>
    </w:p>
    <w:p>
      <w:pPr>
        <w:pStyle w:val="ListBullet"/>
        <w:spacing w:after="60"/>
      </w:pPr>
      <w:r>
        <w:rPr>
          <w:color w:val="3A4260"/>
          <w:sz w:val="21"/>
        </w:rPr>
        <w:t>Equipo solvente y con conocimiento directo del sector.</w:t>
      </w:r>
    </w:p>
    <w:p>
      <w:pPr>
        <w:pStyle w:val="ListBullet"/>
        <w:spacing w:after="60"/>
      </w:pPr>
      <w:r>
        <w:rPr>
          <w:color w:val="3A4260"/>
          <w:sz w:val="21"/>
        </w:rPr>
        <w:t>Ingresos recurrentes por cuotas mensuales, con bajo coste de mantenimiento del local.</w:t>
      </w:r>
    </w:p>
    <w:p>
      <w:pPr>
        <w:pStyle w:val="ListBullet"/>
        <w:spacing w:after="60"/>
      </w:pPr>
      <w:r>
        <w:rPr>
          <w:color w:val="3A4260"/>
          <w:sz w:val="21"/>
        </w:rPr>
        <w:t>Estructura de personal mínima y automatizada, con bajo coste fijo respecto a los ingresos.</w:t>
      </w:r>
    </w:p>
    <w:p>
      <w:pPr>
        <w:pStyle w:val="ListBullet"/>
        <w:spacing w:after="60"/>
      </w:pPr>
      <w:r>
        <w:rPr>
          <w:color w:val="3A4260"/>
          <w:sz w:val="21"/>
        </w:rPr>
        <w:t>Recorrido adicional sin explotar: 1.000 m² de planta superior no incluidos en la proyección de ingresos.</w:t>
      </w:r>
    </w:p>
    <w:p>
      <w:pPr>
        <w:spacing w:before="480"/>
      </w:pPr>
    </w:p>
    <w:tbl>
      <w:tblPr>
        <w:tblW w:type="auto" w:w="0"/>
        <w:tblLayout w:type="autofit"/>
        <w:tblLook w:firstColumn="1" w:firstRow="1" w:lastColumn="0" w:lastRow="0" w:noHBand="0" w:noVBand="1" w:val="04A0"/>
      </w:tblPr>
      <w:tblGrid>
        <w:gridCol w:w="4873"/>
        <w:gridCol w:w="4873"/>
      </w:tblGrid>
      <w:tr>
        <w:tc>
          <w:tcPr>
            <w:tcW w:type="dxa" w:w="4873"/>
          </w:tcPr>
          <w:p>
            <w:r>
              <w:rPr>
                <w:color w:val="697089"/>
                <w:sz w:val="19"/>
              </w:rPr>
              <w:t>El administrador</w:t>
            </w:r>
          </w:p>
          <w:p>
            <w:r>
              <w:rPr>
                <w:b/>
                <w:color w:val="141A2B"/>
                <w:sz w:val="22"/>
              </w:rPr>
              <w:t>Sergi Caro Folch</w:t>
            </w:r>
          </w:p>
          <w:p>
            <w:r>
              <w:rPr>
                <w:color w:val="697089"/>
                <w:sz w:val="19"/>
              </w:rPr>
              <w:t>Caro Legión, S.L.</w:t>
            </w:r>
          </w:p>
        </w:tc>
        <w:tc>
          <w:tcPr>
            <w:tcW w:type="dxa" w:w="4873"/>
          </w:tcPr>
          <w:p>
            <w:r>
              <w:rPr>
                <w:color w:val="697089"/>
                <w:sz w:val="19"/>
              </w:rPr>
              <w:t>Fecha y firma</w:t>
            </w:r>
          </w:p>
          <w:p>
            <w:r>
              <w:rPr>
                <w:color w:val="A8791F"/>
                <w:sz w:val="22"/>
              </w:rPr>
              <w:t>_______________________</w:t>
            </w:r>
          </w:p>
        </w:tc>
      </w:tr>
    </w:tbl>
    <w:p>
      <w:pPr>
        <w:spacing w:before="400"/>
      </w:pPr>
      <w:r>
        <w:rPr>
          <w:i/>
          <w:color w:val="697089"/>
          <w:sz w:val="17"/>
        </w:rPr>
        <w:t>Documento informativo y confidencial. Las proyecciones son estimaciones basadas en el plan de negocio y no constituyen garantía de resultados. Las condiciones definitivas de cualquier operación de capital o deuda se formalizarán ante asesor y, en su caso, notario. Sant Fruitós de Bages,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426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