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b/>
          <w:i w:val="0"/>
          <w:color w:val="555A66"/>
          <w:sz w:val="17"/>
        </w:rPr>
        <w:t>STRICTLY PRIVATE &amp; CONFIDENTIAL  ·  SUBJECT TO CONTRACT</w:t>
      </w:r>
    </w:p>
    <w:p>
      <w:pPr>
        <w:spacing w:before="0" w:after="0"/>
        <w:jc w:val="center"/>
      </w:pPr>
      <w:r>
        <w:rPr>
          <w:b/>
          <w:i w:val="0"/>
          <w:color w:val="1B2A4A"/>
          <w:sz w:val="52"/>
        </w:rPr>
        <w:t>STRIKER</w:t>
      </w:r>
    </w:p>
    <w:p>
      <w:pPr>
        <w:spacing w:before="0" w:after="160"/>
        <w:jc w:val="center"/>
      </w:pPr>
      <w:r>
        <w:rPr>
          <w:b w:val="0"/>
          <w:i w:val="0"/>
          <w:color w:val="555A66"/>
          <w:sz w:val="22"/>
        </w:rPr>
        <w:t>Проект F/A-259U · лёгкий многоцелевой боевой самолёт</w:t>
      </w:r>
    </w:p>
    <w:p>
      <w:pPr>
        <w:spacing w:before="0" w:after="0"/>
        <w:jc w:val="center"/>
      </w:pPr>
      <w:r>
        <w:rPr>
          <w:b/>
          <w:i w:val="0"/>
          <w:color w:val="1B2A4A"/>
          <w:sz w:val="26"/>
        </w:rPr>
        <w:t>ОСНОВНЫЕ УСЛОВИЯ ИНВЕСТИЦИОННОЙ СДЕЛКИ</w:t>
      </w:r>
    </w:p>
    <w:p>
      <w:pPr>
        <w:spacing w:before="0" w:after="160"/>
        <w:jc w:val="center"/>
      </w:pPr>
      <w:r>
        <w:rPr>
          <w:b w:val="0"/>
          <w:i/>
          <w:color w:val="555A66"/>
          <w:sz w:val="20"/>
        </w:rPr>
        <w:t>Indicative Term Sheet · 2026</w:t>
      </w:r>
    </w:p>
    <w:p>
      <w:pPr>
        <w:pBdr>
          <w:bottom w:val="single" w:sz="6" w:space="1" w:color="1B2A4A"/>
        </w:pBdr>
        <w:spacing w:after="120"/>
      </w:pPr>
    </w:p>
    <w:p>
      <w:pPr>
        <w:spacing w:before="0" w:after="200"/>
      </w:pPr>
      <w:r>
        <w:rPr>
          <w:b w:val="0"/>
          <w:i/>
          <w:color w:val="555A66"/>
          <w:sz w:val="18"/>
        </w:rPr>
        <w:t>Настоящий документ носит индикативный и предварительный характер, отражает структуру обсуждаемой сделки и не является офертой или обязательством. Связывающими являются только разделы 15 и 16. Окончательные условия фиксируются в обязывающих договорах (подписное и акционерное соглашения, устав холдинга).</w:t>
      </w:r>
    </w:p>
    <w:p>
      <w:pPr>
        <w:spacing w:before="80" w:after="80"/>
      </w:pPr>
      <w:r>
        <w:rPr>
          <w:b/>
          <w:color w:val="1B2A4A"/>
          <w:sz w:val="23"/>
        </w:rPr>
        <w:t>Краткая сводка ключевых условий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835"/>
        <w:gridCol w:w="6520"/>
      </w:tblGrid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Эмитент (Холдинг)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[•] Limited — Англия и Уэльс; владеет болгарскими PrincipalCo (производство) и SalesCo (продажи)</w:t>
            </w:r>
          </w:p>
        </w:tc>
      </w:tr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Инвестор(ы)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[•]</w:t>
            </w:r>
          </w:p>
        </w:tc>
      </w:tr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Инициаторы проекта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[•]</w:t>
            </w:r>
          </w:p>
        </w:tc>
      </w:tr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Инструмент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[привилегированные / обыкновенные] акции холдинга</w:t>
            </w:r>
          </w:p>
        </w:tc>
      </w:tr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Объём раунда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[•] (ориентир — полное финансирование трёх лет, ≈ 420 млн USD)</w:t>
            </w:r>
          </w:p>
        </w:tc>
      </w:tr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Оценка pre / post-money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[•] / [•] (ориентир post-money 0,7–1,1 млрд USD)</w:t>
            </w:r>
          </w:p>
        </w:tc>
      </w:tr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Доля инвестора(ов)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[•]% (ориентир 40–60%)</w:t>
            </w:r>
          </w:p>
        </w:tc>
      </w:tr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Транширование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3 транша по достижении вех (раздел 3)</w:t>
            </w:r>
          </w:p>
        </w:tc>
      </w:tr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Ликвидационная преференция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[1,0× non-participating]</w:t>
            </w:r>
          </w:p>
        </w:tc>
      </w:tr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Совет директоров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[•] от инвесторов / [•] от инициаторов / 1 независимый; контрольное большинство — лица НАТО и ЕС</w:t>
            </w:r>
          </w:p>
        </w:tc>
      </w:tr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Применимое право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английское; арбитраж [LCIA, Лондон]</w:t>
            </w:r>
          </w:p>
        </w:tc>
      </w:tr>
      <w:tr>
        <w:tc>
          <w:tcPr>
            <w:tcW w:type="dxa" w:w="2835"/>
            <w:shd w:val="clear" w:fill="EEF1F7"/>
          </w:tcPr>
          <w:p>
            <w:pPr>
              <w:spacing w:after="20"/>
            </w:pPr>
            <w:r>
              <w:rPr>
                <w:b/>
                <w:color w:val="1B2A4A"/>
                <w:sz w:val="19"/>
              </w:rPr>
              <w:t>Юридический статус</w:t>
            </w:r>
          </w:p>
        </w:tc>
        <w:tc>
          <w:tcPr>
            <w:tcW w:type="dxa" w:w="6520"/>
          </w:tcPr>
          <w:p>
            <w:pPr>
              <w:spacing w:after="20"/>
            </w:pPr>
            <w:r>
              <w:rPr>
                <w:sz w:val="19"/>
              </w:rPr>
              <w:t>необязывающий, кроме разделов 15–16</w:t>
            </w:r>
          </w:p>
        </w:tc>
      </w:tr>
    </w:tbl>
    <w:p>
      <w:pPr>
        <w:spacing w:before="240" w:after="80"/>
      </w:pPr>
      <w:r>
        <w:rPr>
          <w:b/>
          <w:color w:val="1B2A4A"/>
          <w:sz w:val="23"/>
        </w:rPr>
        <w:t>1.  Стороны</w:t>
      </w:r>
    </w:p>
    <w:p>
      <w:pPr>
        <w:pStyle w:val="ListBullet"/>
        <w:spacing w:after="40"/>
      </w:pPr>
      <w:r>
        <w:rPr>
          <w:b/>
          <w:sz w:val="21"/>
        </w:rPr>
        <w:t xml:space="preserve">Инвестор(ы): </w:t>
      </w:r>
      <w:r>
        <w:rPr>
          <w:sz w:val="21"/>
        </w:rPr>
        <w:t xml:space="preserve"> [•].</w:t>
      </w:r>
    </w:p>
    <w:p>
      <w:pPr>
        <w:pStyle w:val="ListBullet"/>
        <w:spacing w:after="40"/>
      </w:pPr>
      <w:r>
        <w:rPr>
          <w:b/>
          <w:sz w:val="21"/>
        </w:rPr>
        <w:t xml:space="preserve">Инициаторы (организаторы) проекта: </w:t>
      </w:r>
      <w:r>
        <w:rPr>
          <w:sz w:val="21"/>
        </w:rPr>
        <w:t xml:space="preserve"> [•].</w:t>
      </w:r>
    </w:p>
    <w:p>
      <w:pPr>
        <w:pStyle w:val="ListBullet"/>
        <w:spacing w:after="40"/>
      </w:pPr>
      <w:r>
        <w:rPr>
          <w:b/>
          <w:sz w:val="21"/>
        </w:rPr>
        <w:t xml:space="preserve">Компания (Эмитент): </w:t>
      </w:r>
      <w:r>
        <w:rPr>
          <w:sz w:val="21"/>
        </w:rPr>
        <w:t xml:space="preserve"> холдинговая компания в Великобритании ([•] Limited), которой принадлежат болгарские операционная (PrincipalCo) и продающая (SalesCo) компании.</w:t>
      </w:r>
    </w:p>
    <w:p>
      <w:pPr>
        <w:spacing w:before="240" w:after="80"/>
      </w:pPr>
      <w:r>
        <w:rPr>
          <w:b/>
          <w:color w:val="1B2A4A"/>
          <w:sz w:val="23"/>
        </w:rPr>
        <w:t>2.  Предмет сделки и инструмент</w:t>
      </w:r>
    </w:p>
    <w:p>
      <w:pPr>
        <w:spacing w:before="0" w:after="80"/>
      </w:pPr>
      <w:r>
        <w:rPr>
          <w:b w:val="0"/>
          <w:i w:val="0"/>
          <w:sz w:val="21"/>
        </w:rPr>
        <w:t>Инвестор подписывается на вновь выпускаемые акции холдинга. Класс и права акций определяются разделами 5 и 7 (разделение экономического участия и контроля).</w:t>
      </w:r>
    </w:p>
    <w:p>
      <w:pPr>
        <w:spacing w:before="240" w:after="80"/>
      </w:pPr>
      <w:r>
        <w:rPr>
          <w:b/>
          <w:color w:val="1B2A4A"/>
          <w:sz w:val="23"/>
        </w:rPr>
        <w:t>3.  Объём инвестиций, оценка и транширование</w:t>
      </w:r>
    </w:p>
    <w:p>
      <w:pPr>
        <w:pStyle w:val="ListBullet"/>
        <w:spacing w:after="40"/>
      </w:pPr>
      <w:r>
        <w:rPr>
          <w:b/>
          <w:sz w:val="21"/>
        </w:rPr>
        <w:t xml:space="preserve">Объём раунда: </w:t>
      </w:r>
      <w:r>
        <w:rPr>
          <w:sz w:val="21"/>
        </w:rPr>
        <w:t xml:space="preserve"> [•] (ориентир — полное финансирование трёх лет разработки, испытаний и запуска серийного производства).</w:t>
      </w:r>
    </w:p>
    <w:p>
      <w:pPr>
        <w:pStyle w:val="ListBullet"/>
        <w:spacing w:after="40"/>
      </w:pPr>
      <w:r>
        <w:rPr>
          <w:b/>
          <w:sz w:val="21"/>
        </w:rPr>
        <w:t xml:space="preserve">Оценка: </w:t>
      </w:r>
      <w:r>
        <w:rPr>
          <w:sz w:val="21"/>
        </w:rPr>
        <w:t xml:space="preserve"> pre-money [•] / post-money [•].</w:t>
      </w:r>
    </w:p>
    <w:p>
      <w:pPr>
        <w:pStyle w:val="ListBullet"/>
        <w:spacing w:after="40"/>
      </w:pPr>
      <w:r>
        <w:rPr>
          <w:b/>
          <w:sz w:val="21"/>
        </w:rPr>
        <w:t xml:space="preserve">Доля инвестора(ов): </w:t>
      </w:r>
      <w:r>
        <w:rPr>
          <w:sz w:val="21"/>
        </w:rPr>
        <w:t xml:space="preserve"> [•]% на полностью разводнённой основе.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B2A4A"/>
          </w:tcPr>
          <w:p>
            <w:r>
              <w:rPr>
                <w:b/>
                <w:color w:val="FFFFFF"/>
                <w:sz w:val="19"/>
              </w:rPr>
              <w:t>Транш</w:t>
            </w:r>
          </w:p>
        </w:tc>
        <w:tc>
          <w:tcPr>
            <w:tcW w:type="dxa" w:w="3249"/>
            <w:shd w:val="clear" w:fill="1B2A4A"/>
          </w:tcPr>
          <w:p>
            <w:r>
              <w:rPr>
                <w:b/>
                <w:color w:val="FFFFFF"/>
                <w:sz w:val="19"/>
              </w:rPr>
              <w:t>Сумма</w:t>
            </w:r>
          </w:p>
        </w:tc>
        <w:tc>
          <w:tcPr>
            <w:tcW w:type="dxa" w:w="3249"/>
            <w:shd w:val="clear" w:fill="1B2A4A"/>
          </w:tcPr>
          <w:p>
            <w:r>
              <w:rPr>
                <w:b/>
                <w:color w:val="FFFFFF"/>
                <w:sz w:val="19"/>
              </w:rPr>
              <w:t>Условие разблокировки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color w:val="1B2A4A"/>
                <w:sz w:val="19"/>
              </w:rPr>
              <w:t>Транш 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[•]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подписание обязывающих документов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color w:val="1B2A4A"/>
                <w:sz w:val="19"/>
              </w:rPr>
              <w:t>Транш 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[•]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[веха: напр. первый опытный самолёт]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color w:val="1B2A4A"/>
                <w:sz w:val="19"/>
              </w:rPr>
              <w:t>Транш 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[•]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[веха: начало сертификационных испытаний]</w:t>
            </w:r>
          </w:p>
        </w:tc>
      </w:tr>
    </w:tbl>
    <w:p>
      <w:pPr>
        <w:pStyle w:val="ListBullet"/>
        <w:spacing w:after="40"/>
      </w:pPr>
      <w:r>
        <w:rPr>
          <w:b/>
          <w:sz w:val="21"/>
        </w:rPr>
        <w:t xml:space="preserve">Последствия недовнесения транша: </w:t>
      </w:r>
      <w:r>
        <w:rPr>
          <w:sz w:val="21"/>
        </w:rPr>
        <w:t xml:space="preserve"> штрафное разводнение, приостановка прав вето и/или опцион выкупа доли неисполнившего инвестора [•].</w:t>
      </w:r>
    </w:p>
    <w:p>
      <w:pPr>
        <w:spacing w:before="240" w:after="80"/>
      </w:pPr>
      <w:r>
        <w:rPr>
          <w:b/>
          <w:color w:val="1B2A4A"/>
          <w:sz w:val="23"/>
        </w:rPr>
        <w:t>4.  Использование средств</w:t>
      </w:r>
    </w:p>
    <w:p>
      <w:pPr>
        <w:spacing w:before="0" w:after="80"/>
      </w:pPr>
      <w:r>
        <w:rPr>
          <w:b w:val="0"/>
          <w:i w:val="0"/>
          <w:sz w:val="21"/>
        </w:rPr>
        <w:t>Разработка, испытания и запуск серийного производства F/A-259U (раздел Г меморандума). Существенные отклонения от согласованного бюджета — вопрос вето (раздел 7).</w:t>
      </w:r>
    </w:p>
    <w:p>
      <w:pPr>
        <w:spacing w:before="240" w:after="80"/>
      </w:pPr>
      <w:r>
        <w:rPr>
          <w:b/>
          <w:color w:val="1B2A4A"/>
          <w:sz w:val="23"/>
        </w:rPr>
        <w:t>5.  Структура капитала и классы акций</w:t>
      </w:r>
    </w:p>
    <w:p>
      <w:pPr>
        <w:spacing w:before="0" w:after="80"/>
      </w:pPr>
      <w:r>
        <w:rPr>
          <w:b w:val="0"/>
          <w:i w:val="0"/>
          <w:sz w:val="21"/>
        </w:rPr>
        <w:t>Экономическое участие отделяется от контроля: инвесторы вне НАТО получают акции с экономическими правами, но без (или с ограниченным) правом голоса по оборонным вопросам; голосующий контроль и право вето — у инициаторов и инвесторов из стран НАТО и ЕС (раздел 7.5 меморандума). Опционный пул для ключевых сотрудников (ESOP): [•]% на полностью разводнённой основе.</w:t>
      </w:r>
    </w:p>
    <w:p>
      <w:pPr>
        <w:spacing w:before="240" w:after="80"/>
      </w:pPr>
      <w:r>
        <w:rPr>
          <w:b/>
          <w:color w:val="1B2A4A"/>
          <w:sz w:val="23"/>
        </w:rPr>
        <w:t>6.  Ликвидационная преференция и распределение</w:t>
      </w:r>
    </w:p>
    <w:p>
      <w:pPr>
        <w:spacing w:before="0" w:after="80"/>
      </w:pPr>
      <w:r>
        <w:rPr>
          <w:b w:val="0"/>
          <w:i w:val="0"/>
          <w:sz w:val="21"/>
        </w:rPr>
        <w:t>[1,0× non-participating] для инвестора при продаже или ликвидации; далее распределение пропорционально долям. Применяется при сделке по продаже контроля и при ликвидации.</w:t>
      </w:r>
    </w:p>
    <w:p>
      <w:pPr>
        <w:spacing w:before="240" w:after="80"/>
      </w:pPr>
      <w:r>
        <w:rPr>
          <w:b/>
          <w:color w:val="1B2A4A"/>
          <w:sz w:val="23"/>
        </w:rPr>
        <w:t>7.  Корпоративное управление — два контура</w:t>
      </w:r>
    </w:p>
    <w:p>
      <w:pPr>
        <w:spacing w:before="0" w:after="80"/>
      </w:pPr>
      <w:r>
        <w:rPr>
          <w:b/>
          <w:i w:val="0"/>
          <w:sz w:val="21"/>
        </w:rPr>
        <w:t>А. Коммерческое управление.</w:t>
      </w:r>
    </w:p>
    <w:p>
      <w:pPr>
        <w:pStyle w:val="ListBullet"/>
        <w:spacing w:after="40"/>
      </w:pPr>
      <w:r>
        <w:rPr>
          <w:b/>
          <w:sz w:val="21"/>
        </w:rPr>
        <w:t xml:space="preserve">Совет директоров: </w:t>
      </w:r>
      <w:r>
        <w:rPr>
          <w:sz w:val="21"/>
        </w:rPr>
        <w:t xml:space="preserve"> [•] от инвесторов, [•] от инициаторов, 1 независимый директор; контрольное большинство в совете — за директорами от лиц из стран НАТО и ЕС.</w:t>
      </w:r>
    </w:p>
    <w:p>
      <w:pPr>
        <w:pStyle w:val="ListBullet"/>
        <w:spacing w:after="40"/>
      </w:pPr>
      <w:r>
        <w:rPr>
          <w:b/>
          <w:sz w:val="21"/>
        </w:rPr>
        <w:t xml:space="preserve">Вопросы вето инвесторов (квалифицированное большинство): </w:t>
      </w:r>
      <w:r>
        <w:rPr>
          <w:sz w:val="21"/>
        </w:rPr>
        <w:t xml:space="preserve"> бюджет и крупные вложения; займы и гарантии; эмиссия и изменение прав акций; сделки со связанными сторонами; передача прав на разработку; смена контроля; M&amp;A; дивидендная политика; смена аудитора; изменение устава и акционерного соглашения; ликвидация и банкротство.</w:t>
      </w:r>
    </w:p>
    <w:p>
      <w:pPr>
        <w:spacing w:before="0" w:after="80"/>
      </w:pPr>
      <w:r>
        <w:rPr>
          <w:b/>
          <w:i w:val="0"/>
          <w:sz w:val="21"/>
        </w:rPr>
        <w:t>Б. Оборонный контур (security).</w:t>
      </w:r>
    </w:p>
    <w:p>
      <w:pPr>
        <w:pStyle w:val="ListBullet"/>
        <w:spacing w:after="40"/>
      </w:pPr>
      <w:r>
        <w:rPr>
          <w:b/>
          <w:sz w:val="21"/>
        </w:rPr>
        <w:t xml:space="preserve">Изолированные оборонные решения: </w:t>
      </w:r>
      <w:r>
        <w:rPr>
          <w:sz w:val="21"/>
        </w:rPr>
        <w:t xml:space="preserve"> доступ к секретной информации; выбор экспортных рынков и конечных пользователей; экспортное лицензирование; исполнение соглашения о безопасности. Эти вопросы решает комитет по безопасности из директоров с допуском к гостайне (граждане НАТО/ЕС) — единолично, без права вето внеблоковых акционеров; кворум по таким вопросам требует участия директоров с допуском.</w:t>
      </w:r>
    </w:p>
    <w:p>
      <w:pPr>
        <w:spacing w:before="240" w:after="80"/>
      </w:pPr>
      <w:r>
        <w:rPr>
          <w:b/>
          <w:color w:val="1B2A4A"/>
          <w:sz w:val="23"/>
        </w:rPr>
        <w:t>8.  Менеджмент и основатели</w:t>
      </w:r>
    </w:p>
    <w:p>
      <w:pPr>
        <w:pStyle w:val="ListBullet"/>
        <w:spacing w:after="40"/>
      </w:pPr>
      <w:r>
        <w:rPr>
          <w:b/>
          <w:sz w:val="21"/>
        </w:rPr>
        <w:t xml:space="preserve">Управление: </w:t>
      </w:r>
      <w:r>
        <w:rPr>
          <w:sz w:val="21"/>
        </w:rPr>
        <w:t xml:space="preserve"> операционная реализация — за инициаторами; служебные договоры (service agreements), KPI, ежемесячная/ежеквартальная отчётность, право инвестора на информацию.</w:t>
      </w:r>
    </w:p>
    <w:p>
      <w:pPr>
        <w:pStyle w:val="ListBullet"/>
        <w:spacing w:after="40"/>
      </w:pPr>
      <w:r>
        <w:rPr>
          <w:b/>
          <w:sz w:val="21"/>
        </w:rPr>
        <w:t xml:space="preserve">Vesting долей инициаторов: </w:t>
      </w:r>
      <w:r>
        <w:rPr>
          <w:sz w:val="21"/>
        </w:rPr>
        <w:t xml:space="preserve"> период удержания [•] + помесячно за [•] лет; разделение good leaver / bad leaver с обратным выкупом по [•].</w:t>
      </w:r>
    </w:p>
    <w:p>
      <w:pPr>
        <w:pStyle w:val="ListBullet"/>
        <w:spacing w:after="40"/>
      </w:pPr>
      <w:r>
        <w:rPr>
          <w:b/>
          <w:sz w:val="21"/>
        </w:rPr>
        <w:t xml:space="preserve">Обязательства: </w:t>
      </w:r>
      <w:r>
        <w:rPr>
          <w:sz w:val="21"/>
        </w:rPr>
        <w:t xml:space="preserve"> non-compete / non-solicit на срок [•]; передача созданной интеллектуальной собственности компании.</w:t>
      </w:r>
    </w:p>
    <w:p>
      <w:pPr>
        <w:spacing w:before="240" w:after="80"/>
      </w:pPr>
      <w:r>
        <w:rPr>
          <w:b/>
          <w:color w:val="1B2A4A"/>
          <w:sz w:val="23"/>
        </w:rPr>
        <w:t>9.  Защита инвестора и анти-разводнение</w:t>
      </w:r>
    </w:p>
    <w:p>
      <w:pPr>
        <w:pStyle w:val="ListBullet"/>
        <w:spacing w:after="40"/>
      </w:pPr>
      <w:r>
        <w:rPr>
          <w:sz w:val="21"/>
        </w:rPr>
        <w:t xml:space="preserve"> право на информацию; защита от размывания (взвешенное среднее [•]); право следования при продаже (tag-along) на равных условиях; преимущественное право на новые эмиссии (пропорционально доле).</w:t>
      </w:r>
    </w:p>
    <w:p>
      <w:pPr>
        <w:spacing w:before="240" w:after="80"/>
      </w:pPr>
      <w:r>
        <w:rPr>
          <w:b/>
          <w:color w:val="1B2A4A"/>
          <w:sz w:val="23"/>
        </w:rPr>
        <w:t>10.  Ограничения на передачу долей</w:t>
      </w:r>
    </w:p>
    <w:p>
      <w:pPr>
        <w:pStyle w:val="ListBullet"/>
        <w:spacing w:after="40"/>
      </w:pPr>
      <w:r>
        <w:rPr>
          <w:b/>
          <w:sz w:val="21"/>
        </w:rPr>
        <w:t xml:space="preserve">Передача: </w:t>
      </w:r>
      <w:r>
        <w:rPr>
          <w:sz w:val="21"/>
        </w:rPr>
        <w:t xml:space="preserve"> запрет на отчуждение (lock-up) на срок [•]; право первого предложения / первого выкупа (ROFO/ROFR) с процедурой и сроками; разрешённые передачи аффилированным лицам.</w:t>
      </w:r>
    </w:p>
    <w:p>
      <w:pPr>
        <w:pStyle w:val="ListBullet"/>
        <w:spacing w:after="40"/>
      </w:pPr>
      <w:r>
        <w:rPr>
          <w:b/>
          <w:sz w:val="21"/>
        </w:rPr>
        <w:t xml:space="preserve">Оборонное условие: </w:t>
      </w:r>
      <w:r>
        <w:rPr>
          <w:sz w:val="21"/>
        </w:rPr>
        <w:t xml:space="preserve"> любая передача доли и любая смена контроля над акционером — только после прохождения проверки иностранных инвестиций (FDI) и при сохранении допуска к лицензии.</w:t>
      </w:r>
    </w:p>
    <w:p>
      <w:pPr>
        <w:pStyle w:val="ListBullet"/>
        <w:spacing w:after="40"/>
      </w:pPr>
      <w:r>
        <w:rPr>
          <w:b/>
          <w:sz w:val="21"/>
        </w:rPr>
        <w:t xml:space="preserve">Аварийный механизм: </w:t>
      </w:r>
      <w:r>
        <w:rPr>
          <w:sz w:val="21"/>
        </w:rPr>
        <w:t xml:space="preserve"> принудительный выкуп (compulsory transfer) при попадании акционера под санкции, потере допуска или враждебной смене контроля над ним — по [•].</w:t>
      </w:r>
    </w:p>
    <w:p>
      <w:pPr>
        <w:spacing w:before="240" w:after="80"/>
      </w:pPr>
      <w:r>
        <w:rPr>
          <w:b/>
          <w:color w:val="1B2A4A"/>
          <w:sz w:val="23"/>
        </w:rPr>
        <w:t>11.  Принудительная продажа и выход</w:t>
      </w:r>
    </w:p>
    <w:p>
      <w:pPr>
        <w:pStyle w:val="ListBullet"/>
        <w:spacing w:after="40"/>
      </w:pPr>
      <w:r>
        <w:rPr>
          <w:b/>
          <w:sz w:val="21"/>
        </w:rPr>
        <w:t xml:space="preserve">Drag-along: </w:t>
      </w:r>
      <w:r>
        <w:rPr>
          <w:sz w:val="21"/>
        </w:rPr>
        <w:t xml:space="preserve"> право принудительной продажи (drag-along) при [квалифицированном большинстве] — только покупателю, прошедшему FDI-скрининг; drag не передаёт контроль непроверенному или внеблоковому лицу.</w:t>
      </w:r>
    </w:p>
    <w:p>
      <w:pPr>
        <w:pStyle w:val="ListBullet"/>
        <w:spacing w:after="40"/>
      </w:pPr>
      <w:r>
        <w:rPr>
          <w:b/>
          <w:sz w:val="21"/>
        </w:rPr>
        <w:t xml:space="preserve">Выход: </w:t>
      </w:r>
      <w:r>
        <w:rPr>
          <w:sz w:val="21"/>
        </w:rPr>
        <w:t xml:space="preserve"> публичное размещение (IPO) или продажа стратегу; ориентировочный горизонт ликвидности — [•]; права регистрации (registration rights) при IPO.</w:t>
      </w:r>
    </w:p>
    <w:p>
      <w:pPr>
        <w:pStyle w:val="ListBullet"/>
        <w:spacing w:after="40"/>
      </w:pPr>
      <w:r>
        <w:rPr>
          <w:b/>
          <w:sz w:val="21"/>
        </w:rPr>
        <w:t xml:space="preserve">Тупиковые ситуации: </w:t>
      </w:r>
      <w:r>
        <w:rPr>
          <w:sz w:val="21"/>
        </w:rPr>
        <w:t xml:space="preserve"> эскалация, посредничество, опционы выкупа — в тех же FDI-ограничениях.</w:t>
      </w:r>
    </w:p>
    <w:p>
      <w:pPr>
        <w:spacing w:before="240" w:after="80"/>
      </w:pPr>
      <w:r>
        <w:rPr>
          <w:b/>
          <w:color w:val="1B2A4A"/>
          <w:sz w:val="23"/>
        </w:rPr>
        <w:t>12.  Условия закрытия (Conditions Precedent)</w:t>
      </w:r>
    </w:p>
    <w:p>
      <w:pPr>
        <w:spacing w:before="0" w:after="80"/>
      </w:pPr>
      <w:r>
        <w:rPr>
          <w:b w:val="0"/>
          <w:i w:val="0"/>
          <w:sz w:val="21"/>
        </w:rPr>
        <w:t>Разрешение болгарского регулятора по проверке иностранных инвестиций; подписанное соглашение о безопасности; согласованный порядок экспортного лицензирования (Чехия и Болгария); договоры с Aero Vodochody, IAI и поставщиком двигателя; подтверждённая финансовая модель и завершённая юридическая/финансовая проверка (due diligence); отсутствие существенного неблагоприятного изменения (Material Adverse Change, MAC); корпоративные одобрения; подписанные служебные договоры ключевых лиц.</w:t>
      </w:r>
    </w:p>
    <w:p>
      <w:pPr>
        <w:spacing w:before="240" w:after="80"/>
      </w:pPr>
      <w:r>
        <w:rPr>
          <w:b/>
          <w:color w:val="1B2A4A"/>
          <w:sz w:val="23"/>
        </w:rPr>
        <w:t>13.  Заверения и гарантии</w:t>
      </w:r>
    </w:p>
    <w:p>
      <w:pPr>
        <w:spacing w:before="0" w:after="80"/>
      </w:pPr>
      <w:r>
        <w:rPr>
          <w:b w:val="0"/>
          <w:i w:val="0"/>
          <w:sz w:val="21"/>
        </w:rPr>
        <w:t>Инициаторы предоставляют деловые заверения и гарантии с раскрытием (disclosure) и индемнити в объёме, согласуемом в обязывающих документах.</w:t>
      </w:r>
    </w:p>
    <w:p>
      <w:pPr>
        <w:spacing w:before="240" w:after="80"/>
      </w:pPr>
      <w:r>
        <w:rPr>
          <w:b/>
          <w:color w:val="1B2A4A"/>
          <w:sz w:val="23"/>
        </w:rPr>
        <w:t>14.  Расходы</w:t>
      </w:r>
    </w:p>
    <w:p>
      <w:pPr>
        <w:spacing w:before="0" w:after="80"/>
      </w:pPr>
      <w:r>
        <w:rPr>
          <w:b w:val="0"/>
          <w:i w:val="0"/>
          <w:sz w:val="21"/>
        </w:rPr>
        <w:t>Каждая сторона несёт собственные расходы [или: разумные расходы инвестора на проверку компенсируются при закрытии — [•]].</w:t>
      </w:r>
    </w:p>
    <w:p>
      <w:pPr>
        <w:spacing w:before="240" w:after="80"/>
      </w:pPr>
      <w:r>
        <w:rPr>
          <w:b/>
          <w:color w:val="1B2A4A"/>
          <w:sz w:val="23"/>
        </w:rPr>
        <w:t>15.  Эксклюзивность и конфиденциальность (связывающие положения)</w:t>
      </w:r>
    </w:p>
    <w:p>
      <w:pPr>
        <w:pStyle w:val="ListBullet"/>
        <w:spacing w:after="40"/>
      </w:pPr>
      <w:r>
        <w:rPr>
          <w:b/>
          <w:sz w:val="21"/>
        </w:rPr>
        <w:t xml:space="preserve">Эксклюзивность (no-shop): </w:t>
      </w:r>
      <w:r>
        <w:rPr>
          <w:sz w:val="21"/>
        </w:rPr>
        <w:t xml:space="preserve"> на срок [•] стороны не ведут переговоров с третьими лицами по аналогичной сделке.</w:t>
      </w:r>
    </w:p>
    <w:p>
      <w:pPr>
        <w:pStyle w:val="ListBullet"/>
        <w:spacing w:after="40"/>
      </w:pPr>
      <w:r>
        <w:rPr>
          <w:b/>
          <w:sz w:val="21"/>
        </w:rPr>
        <w:t xml:space="preserve">Конфиденциальность: </w:t>
      </w:r>
      <w:r>
        <w:rPr>
          <w:sz w:val="21"/>
        </w:rPr>
        <w:t xml:space="preserve"> содержание настоящего документа и переговоров конфиденциально; публичные анонсы — только по взаимному письменному согласию.</w:t>
      </w:r>
    </w:p>
    <w:p>
      <w:pPr>
        <w:spacing w:before="240" w:after="80"/>
      </w:pPr>
      <w:r>
        <w:rPr>
          <w:b/>
          <w:color w:val="1B2A4A"/>
          <w:sz w:val="23"/>
        </w:rPr>
        <w:t>16.  Применимое право, разрешение споров и статус (связывающие положения)</w:t>
      </w:r>
    </w:p>
    <w:p>
      <w:pPr>
        <w:pStyle w:val="ListBullet"/>
        <w:spacing w:after="40"/>
      </w:pPr>
      <w:r>
        <w:rPr>
          <w:b/>
          <w:sz w:val="21"/>
        </w:rPr>
        <w:t xml:space="preserve">Применимое право: </w:t>
      </w:r>
      <w:r>
        <w:rPr>
          <w:sz w:val="21"/>
        </w:rPr>
        <w:t xml:space="preserve"> английское; споры — международный арбитраж [LCIA, место — Лондон].</w:t>
      </w:r>
    </w:p>
    <w:p>
      <w:pPr>
        <w:spacing w:before="0" w:after="80"/>
      </w:pPr>
      <w:r>
        <w:rPr>
          <w:b w:val="0"/>
          <w:i w:val="0"/>
          <w:sz w:val="21"/>
        </w:rPr>
        <w:t>Настоящий term sheet носит предварительный и НЕ обязывающий характер и сам по себе не создаёт обязанности заключить сделку. Связывающими являются только разделы 15 и 16. Все прочие условия становятся обязательными только после подписания долгосрочных документов.</w:t>
      </w:r>
    </w:p>
    <w:p/>
    <w:p>
      <w:pPr>
        <w:pBdr>
          <w:bottom w:val="single" w:sz="6" w:space="1" w:color="1B2A4A"/>
        </w:pBdr>
        <w:spacing w:after="120"/>
      </w:pPr>
    </w:p>
    <w:p>
      <w:pPr>
        <w:spacing w:before="0" w:after="200"/>
      </w:pPr>
      <w:r>
        <w:rPr>
          <w:b w:val="0"/>
          <w:i/>
          <w:color w:val="555A66"/>
          <w:sz w:val="19"/>
        </w:rPr>
        <w:t>Принято к сведению и согласовано в качестве основы для дальнейших переговоров: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1B2A4A"/>
                <w:sz w:val="19"/>
              </w:rPr>
              <w:t>От имени Эмитента / Инициаторов</w:t>
            </w:r>
          </w:p>
        </w:tc>
        <w:tc>
          <w:tcPr>
            <w:tcW w:type="dxa" w:w="4873"/>
          </w:tcPr>
          <w:p>
            <w:r>
              <w:rPr>
                <w:b/>
                <w:color w:val="1B2A4A"/>
                <w:sz w:val="19"/>
              </w:rPr>
              <w:t>От имени Инвестора</w:t>
            </w:r>
          </w:p>
        </w:tc>
      </w:tr>
      <w:tr>
        <w:tc>
          <w:tcPr>
            <w:tcW w:type="dxa" w:w="4873"/>
          </w:tcPr>
          <w:p/>
          <w:p>
            <w:pPr>
              <w:spacing w:after="40"/>
            </w:pPr>
            <w:r>
              <w:rPr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sz w:val="19"/>
              </w:rPr>
              <w:t>Имя:</w:t>
            </w:r>
          </w:p>
          <w:p>
            <w:pPr>
              <w:spacing w:after="40"/>
            </w:pPr>
            <w:r>
              <w:rPr>
                <w:sz w:val="19"/>
              </w:rPr>
              <w:t>Должность:</w:t>
            </w:r>
          </w:p>
          <w:p>
            <w:pPr>
              <w:spacing w:after="40"/>
            </w:pPr>
            <w:r>
              <w:rPr>
                <w:sz w:val="19"/>
              </w:rPr>
              <w:t>Дата:</w:t>
            </w:r>
          </w:p>
        </w:tc>
        <w:tc>
          <w:tcPr>
            <w:tcW w:type="dxa" w:w="4873"/>
          </w:tcPr>
          <w:p/>
          <w:p>
            <w:pPr>
              <w:spacing w:after="40"/>
            </w:pPr>
            <w:r>
              <w:rPr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sz w:val="19"/>
              </w:rPr>
              <w:t>Имя:</w:t>
            </w:r>
          </w:p>
          <w:p>
            <w:pPr>
              <w:spacing w:after="40"/>
            </w:pPr>
            <w:r>
              <w:rPr>
                <w:sz w:val="19"/>
              </w:rPr>
              <w:t>Должность:</w:t>
            </w:r>
          </w:p>
          <w:p>
            <w:pPr>
              <w:spacing w:after="40"/>
            </w:pPr>
            <w:r>
              <w:rPr>
                <w:sz w:val="19"/>
              </w:rPr>
              <w:t>Дата: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A66"/>
        <w:sz w:val="16"/>
      </w:rPr>
      <w:t>Строго конфиденциально · STRIKER · Indicative Term Sheet · подлежит оформлению договором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20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