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42647"/>
          <w:sz w:val="26"/>
        </w:rPr>
        <w:t>ОРГАНИЗАТОРЫ ПРОЕКТА</w:t>
      </w:r>
    </w:p>
    <w:p>
      <w:pPr>
        <w:jc w:val="center"/>
      </w:pPr>
      <w:r>
        <w:rPr>
          <w:color w:val="5F5F5F"/>
          <w:sz w:val="20"/>
        </w:rPr>
        <w:t>КОНФИДЕНЦИАЛЬНЫЙ МЕМОРАНДУМ · Проект L-259U</w:t>
      </w:r>
    </w:p>
    <w:p/>
    <w:p>
      <w:pPr>
        <w:jc w:val="center"/>
      </w:pPr>
      <w:r>
        <w:rPr>
          <w:b/>
          <w:color w:val="142647"/>
          <w:sz w:val="68"/>
        </w:rPr>
        <w:t>«STRIKER»</w:t>
      </w:r>
    </w:p>
    <w:p>
      <w:pPr>
        <w:jc w:val="center"/>
      </w:pPr>
      <w:r>
        <w:rPr>
          <w:sz w:val="24"/>
        </w:rPr>
        <w:t>Меморандум о международной корпоративной и налоговой структуре проекта — для инвесторов</w:t>
      </w:r>
    </w:p>
    <w:p>
      <w:pPr>
        <w:jc w:val="center"/>
      </w:pPr>
      <w:r>
        <w:rPr>
          <w:i/>
          <w:color w:val="5F5F5F"/>
          <w:sz w:val="20"/>
        </w:rPr>
        <w:t>Производство и поставка лёгкого боевого самолёта</w:t>
      </w:r>
    </w:p>
    <w:p/>
    <w:p>
      <w:pPr>
        <w:jc w:val="center"/>
      </w:pPr>
      <w:r>
        <w:rPr>
          <w:color w:val="5F5F5F"/>
          <w:sz w:val="18"/>
        </w:rPr>
        <w:t>2026 · Выводы проверены по текстам действующих законов и международных налоговых соглашений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Резюме</w:t>
      </w:r>
    </w:p>
    <w:p>
      <w:pPr>
        <w:spacing w:after="100"/>
      </w:pPr>
      <w:r>
        <w:rPr>
          <w:sz w:val="21"/>
        </w:rPr>
        <w:t>Ниже изложены рекомендованная структура проекта, её налоговый результат, вопросы, которые предстоит закрыть до сделки, и ближайшие шаги. Подробное обоснование приведено в разделах 1–9.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05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На первом этапе сборку выполняет независимый чешский завод Aero Vodochody по заказу группы; права на самолёт остаются у группы. Компоненты поставляют внешние партнёры (в том числе авионику — IAI, Израиль).</w:t>
      </w:r>
    </w:p>
    <w:p>
      <w:pPr>
        <w:spacing w:before="160" w:after="40"/>
      </w:pPr>
      <w:r>
        <w:rPr>
          <w:b/>
          <w:color w:val="142647"/>
          <w:sz w:val="22"/>
        </w:rPr>
        <w:t>Налоговый результат</w:t>
      </w:r>
    </w:p>
    <w:p>
      <w:pPr>
        <w:spacing w:after="100"/>
      </w:pPr>
      <w:r>
        <w:rPr>
          <w:sz w:val="21"/>
        </w:rPr>
        <w:t>Прибыль облагается налогом только один раз — в Болгарии по ставке 10%, самой низкой в Европейском союзе. При передаче прибыли вверх в холдинг и далее инвесторам налог у источника не возникает. В результате из каждого миллиона евро операционной прибыли до инвестора доходит около 900 тысяч евро.</w:t>
      </w:r>
    </w:p>
    <w:p>
      <w:pPr>
        <w:spacing w:before="160" w:after="40"/>
      </w:pPr>
      <w:r>
        <w:rPr>
          <w:b/>
          <w:color w:val="142647"/>
          <w:sz w:val="22"/>
        </w:rPr>
        <w:t>Что предстоит проверить до закрытия сделки</w:t>
      </w:r>
    </w:p>
    <w:p>
      <w:pPr>
        <w:spacing w:after="100"/>
      </w:pPr>
      <w:r>
        <w:rPr>
          <w:sz w:val="21"/>
        </w:rPr>
        <w:t>Три вопроса определяют, реализуема ли структура в выбранном составе собственников. Их следует прояснить до её оформления.</w:t>
      </w:r>
    </w:p>
    <w:p>
      <w:pPr>
        <w:pStyle w:val="ListBullet"/>
        <w:spacing w:after="60"/>
      </w:pPr>
      <w:r>
        <w:rPr>
          <w:sz w:val="20"/>
        </w:rPr>
        <w:t>Допуск иностранных собственников к оборонному активу. Государство проверяет иностранные инвестиции в оборонную отрасль на предмет национальной безопасности и вправе их ограничить. Нужно заранее выяснить, на каких условиях болгарский регулятор допустит иностранное владение (раздел 7.5).</w:t>
      </w:r>
    </w:p>
    <w:p>
      <w:pPr>
        <w:pStyle w:val="ListBullet"/>
        <w:spacing w:after="60"/>
      </w:pPr>
      <w:r>
        <w:rPr>
          <w:sz w:val="20"/>
        </w:rPr>
        <w:t>Страна выдачи экспортной лицензии. Поскольку на первом этапе самолёт собирается в Чехии, требуется определить, чья лицензия необходима для поставки конечному заказчику (раздел 7.6).</w:t>
      </w:r>
    </w:p>
    <w:p>
      <w:pPr>
        <w:pStyle w:val="ListBullet"/>
        <w:spacing w:after="60"/>
      </w:pPr>
      <w:r>
        <w:rPr>
          <w:sz w:val="20"/>
        </w:rPr>
        <w:t>Контроль над компанией-лицензиатом. Компания, держащая военно-экспортную лицензию, должна управляться лицами из стран НАТО и ЕС, даже если экономическую долю в проекте имеют другие инвесторы (разделы 7.5 и 9).</w:t>
      </w:r>
    </w:p>
    <w:p>
      <w:pPr>
        <w:spacing w:before="160" w:after="40"/>
      </w:pPr>
      <w:r>
        <w:rPr>
          <w:b/>
          <w:color w:val="142647"/>
          <w:sz w:val="22"/>
        </w:rPr>
        <w:t>Ближайшие шаги</w:t>
      </w:r>
    </w:p>
    <w:p>
      <w:pPr>
        <w:spacing w:after="100"/>
      </w:pPr>
      <w:r>
        <w:rPr>
          <w:sz w:val="21"/>
        </w:rPr>
        <w:t>Проект находится на стадии привлечения инвесторов, поэтому шаги, зависящие от состава собственников, выполняются по мере его формирования.</w:t>
      </w:r>
    </w:p>
    <w:p>
      <w:pPr>
        <w:pStyle w:val="ListBullet"/>
        <w:spacing w:after="60"/>
      </w:pPr>
      <w:r>
        <w:rPr>
          <w:sz w:val="20"/>
        </w:rPr>
        <w:t>По мере формирования пула инвесторов — предварительная консультация с болгарским регулятором о допустимых условиях иностранного владения и о выдаче лицензии.</w:t>
      </w:r>
    </w:p>
    <w:p>
      <w:pPr>
        <w:pStyle w:val="ListBullet"/>
        <w:spacing w:after="60"/>
      </w:pPr>
      <w:r>
        <w:rPr>
          <w:sz w:val="20"/>
        </w:rPr>
        <w:t>Согласование с чешским и болгарским регуляторами порядка экспортного лицензирования (не зависит от состава инвесторов и может начаться раньше).</w:t>
      </w:r>
    </w:p>
    <w:p>
      <w:pPr>
        <w:pStyle w:val="ListBullet"/>
        <w:spacing w:after="60"/>
      </w:pPr>
      <w:r>
        <w:rPr>
          <w:sz w:val="20"/>
        </w:rPr>
        <w:t>Подготовка акционерного соглашения на условиях раздела 9.</w:t>
      </w:r>
    </w:p>
    <w:p>
      <w:pPr>
        <w:pStyle w:val="ListBullet"/>
        <w:spacing w:after="60"/>
      </w:pPr>
      <w:r>
        <w:rPr>
          <w:sz w:val="20"/>
        </w:rPr>
        <w:t>После согласования структуры — подтверждающие заключения местных юристов по Великобритании, Болгарии и Чехии.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1. Рекомендуемая структура и ключевые преимущества</w:t>
      </w:r>
    </w:p>
    <w:p>
      <w:pPr>
        <w:spacing w:after="100"/>
      </w:pPr>
      <w:r>
        <w:rPr>
          <w:sz w:val="21"/>
        </w:rPr>
        <w:t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самолёта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</w:p>
    <w:p>
      <w:pPr>
        <w:spacing w:before="160" w:after="40"/>
      </w:pPr>
      <w:r>
        <w:rPr>
          <w:b/>
          <w:color w:val="142647"/>
          <w:sz w:val="22"/>
        </w:rPr>
        <w:t>Юрисдикции структуры и ставки налога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jur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Все страны структуры — члены НАТО, а Болгария, Чехия и Польша также входят в ЕС. Прибыль накапливается в Болгарии с самой низкой в Евросоюзе ставкой 10%; британский холдинг не платит налог при получении и распределении прибыли.</w:t>
      </w:r>
    </w:p>
    <w:p>
      <w:pPr>
        <w:spacing w:before="160" w:after="40"/>
      </w:pPr>
      <w:r>
        <w:rPr>
          <w:b/>
          <w:color w:val="142647"/>
          <w:sz w:val="22"/>
        </w:rPr>
        <w:t>Этап 1 — производство по заказу (базовая структура)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2399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t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9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Завод Aero Vodochody в группу не входит: он собирает самолёт по заказу за плату, права на самолёт остаются у группы. Компоненты, включая авионику IAI (Израиль), поставляют внешние партнёры.</w:t>
      </w:r>
    </w:p>
    <w:p>
      <w:pPr>
        <w:spacing w:before="160" w:after="40"/>
      </w:pPr>
      <w:r>
        <w:rPr>
          <w:b/>
          <w:color w:val="142647"/>
          <w:sz w:val="22"/>
        </w:rPr>
        <w:t>Этап 2 — собственное производство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519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t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5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По мере роста группа строит собственный завод, и производственная компания входит в группу. Холдинг по-прежнему владеет обеими компаниями напрямую.</w:t>
      </w:r>
    </w:p>
    <w:p>
      <w:pPr>
        <w:spacing w:before="160" w:after="40"/>
      </w:pPr>
      <w:r>
        <w:rPr>
          <w:b/>
          <w:color w:val="142647"/>
          <w:sz w:val="22"/>
        </w:rPr>
        <w:t>Ключевые преимущества</w:t>
      </w:r>
    </w:p>
    <w:p>
      <w:pPr>
        <w:pStyle w:val="ListBullet"/>
        <w:spacing w:after="60"/>
      </w:pPr>
      <w:r>
        <w:rPr>
          <w:sz w:val="20"/>
        </w:rPr>
        <w:t>Низкая нагрузка на прибыль. Операционная прибыль облагается в Болгарии по ставке 10% — самой низкой в Европейском союзе.</w:t>
      </w:r>
    </w:p>
    <w:p>
      <w:pPr>
        <w:pStyle w:val="ListBullet"/>
        <w:spacing w:after="60"/>
      </w:pPr>
      <w:r>
        <w:rPr>
          <w:sz w:val="20"/>
        </w:rPr>
        <w:t>Прибыль доходит наверх без потерь. Передача прибыли из Болгарии в британский холдинг не облагается налогом у источника по налоговому соглашению (при доле не менее 10%, удерживаемой не менее года).</w:t>
      </w:r>
    </w:p>
    <w:p>
      <w:pPr>
        <w:pStyle w:val="ListBullet"/>
        <w:spacing w:after="60"/>
      </w:pPr>
      <w:r>
        <w:rPr>
          <w:sz w:val="20"/>
        </w:rPr>
        <w:t>Эффективное распределение. Холдинг выплачивает прибыль инвесторам без удержания налога (подробнее — раздел 5.3).</w:t>
      </w:r>
    </w:p>
    <w:p>
      <w:pPr>
        <w:pStyle w:val="ListBullet"/>
        <w:spacing w:after="60"/>
      </w:pPr>
      <w:r>
        <w:rPr>
          <w:sz w:val="20"/>
        </w:rPr>
        <w:t>Надёжная юрисдикция холдинга. Великобритания — признанный центр для международных инвесторов с английским правом; защита прав оформляется акционерным соглашением (раздел 9).</w:t>
      </w:r>
    </w:p>
    <w:p>
      <w:pPr>
        <w:pStyle w:val="ListBullet"/>
        <w:spacing w:after="60"/>
      </w:pPr>
      <w:r>
        <w:rPr>
          <w:sz w:val="20"/>
        </w:rPr>
        <w:t>Соответствие военно-экспортным требованиям. Болгария и Чехия — члены НАТО и ЕС с полноценными режимами лицензирования.</w:t>
      </w:r>
    </w:p>
    <w:p>
      <w:pPr>
        <w:pStyle w:val="ListBullet"/>
        <w:spacing w:after="60"/>
      </w:pPr>
      <w:r>
        <w:rPr>
          <w:sz w:val="20"/>
        </w:rPr>
        <w:t>Гибкость и удобный выход. Переход к собственному производству не требует перестройки; продажа долей на уровне структуры освобождена от налога.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2. Холдинговая компания</w:t>
      </w:r>
    </w:p>
    <w:p>
      <w:pPr>
        <w:spacing w:after="100"/>
      </w:pPr>
      <w:r>
        <w:rPr>
          <w:sz w:val="21"/>
        </w:rPr>
        <w:t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из проекта проходят на её уровне.</w:t>
      </w:r>
    </w:p>
    <w:p>
      <w:pPr>
        <w:spacing w:before="160" w:after="40"/>
      </w:pPr>
      <w:r>
        <w:rPr>
          <w:b/>
          <w:color w:val="142647"/>
          <w:sz w:val="22"/>
        </w:rPr>
        <w:t>2.1 Сравнение юрисдикций по ключевым критериям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Великобритания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Люксембург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Ирландия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Нидерланды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Прибыль от операционной компании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Налог при выплате инвесторам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для всех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по договору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минимум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Освобождение при выходе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при условиях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наиболее широкое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Качество суда и права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английское право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высокое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английское право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высокое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Репутация для инвесторов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высшая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Членство в ЕС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нет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2.2 Итоговая налоговая нагрузка</w:t>
      </w:r>
    </w:p>
    <w:p>
      <w:pPr>
        <w:spacing w:after="100"/>
      </w:pPr>
      <w:r>
        <w:rPr>
          <w:sz w:val="21"/>
        </w:rPr>
        <w:t>Во всех четырёх юрисдикциях прибыль поступает из Болгарии в холдинг без налога у источника, а выплата инвесторам сводится к нулю при доле не менее 10% и соблюдении условий. Поэтому итоговая нагрузка практически одинакова, и выбор определяется не ставками, а надёжностью освобождения, режимом выхода, стоимостью содержания и репутацией.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Юрисдикция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 при выплате инвестору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Великобритания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для всех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Налог у источника на дивиденды не взимается в принципе; из Болгарии — ноль по налоговому соглашению; содержание дешевле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Люксембург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для держателей с долей не менее 10%, облагаемых налогом не менее 8% в своей стране; наиболее широкий режим выхода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Ирландия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по договору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Общее право; освобождение при выполнении условий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Нидерланды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Автоматическое освобождение; содержание дороже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Важное различие между Великобританией и Люксембургом. В Люксембурге нулевой налог при выплате инвестору возможен только если получатель — компания, облагаемая налогом не менее 8% в своей стране. Корпоративный инвестор из ОАЭ (где ставка налога на прибыль составляет 9%) этому условию удовлетворяет. Инвестор, владеющий через структуру с нулевым налогом или как физическое лицо, условие не проходит, и применяется ставка по договору. Великобритания не удерживает налог на дивиденды ни при каком составе собственников — поэтому она и рекомендована.</w:t>
      </w:r>
    </w:p>
    <w:p>
      <w:pPr>
        <w:spacing w:before="160" w:after="40"/>
      </w:pPr>
      <w:r>
        <w:rPr>
          <w:b/>
          <w:color w:val="142647"/>
          <w:sz w:val="22"/>
        </w:rPr>
        <w:t>2.3 Рекомендация: холдинг в Великобритании</w:t>
      </w:r>
    </w:p>
    <w:p>
      <w:pPr>
        <w:spacing w:after="100"/>
      </w:pPr>
      <w:r>
        <w:rPr>
          <w:sz w:val="21"/>
        </w:rPr>
        <w:t>Мы рекомендуем Великобританию. Состав инвесторов пока окончательно не определён, а британский холдинг устойчив к любому составу: налог у источника на дивиденды здесь не взимается в принципе, без проверки налогового статуса получателя. Прибыль из Болгарии поступает без удержания по налоговому соглашению; полученные холдингом дивиденды освобождены от налога; а при продаже долей действует освобождение от налога на прирост стоимости участия в торговой компании. К этому добавляются английское право, привычное международным инвесторам и оборонным партнёрам, и более низкая стоимость содержания.</w:t>
      </w:r>
    </w:p>
    <w:p>
      <w:pPr>
        <w:spacing w:after="100"/>
      </w:pPr>
      <w:r>
        <w:rPr>
          <w:sz w:val="21"/>
        </w:rPr>
        <w:t>Люксембург остаётся равноценной альтернативой, если инвесторы — преимущественно компании Евросоюза, нормально облагаемые налогом, и важны членство в ЕС, автоматическое освобождение прибыли и репутация для фондов. Выбор страны холдинга при этом не снимает проверку иностранных инвестиций: она оценивает конечного собственника независимо от того, где зарегистрирован холдинг (раздел 7.5).</w:t>
      </w:r>
    </w:p>
    <w:p>
      <w:pPr>
        <w:spacing w:before="160" w:after="40"/>
      </w:pPr>
      <w:r>
        <w:rPr>
          <w:b/>
          <w:color w:val="142647"/>
          <w:sz w:val="22"/>
        </w:rPr>
        <w:t>2.4 Почему исключена Швейцария</w:t>
      </w:r>
    </w:p>
    <w:p>
      <w:pPr>
        <w:spacing w:after="100"/>
      </w:pPr>
      <w:r>
        <w:rPr>
          <w:sz w:val="21"/>
        </w:rPr>
        <w:t>Швейцария привлекательна по налогам и репутации, но для оборонного проекта с экспортной составляющей не подходит. Законы о военных материалах и о нейтралитете жёстко ограничивают участие швейцарских компаний в поставках военной продукции и её реэкспорте, что создаёт риск блокировки поставок и финансирования.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3. Производственная компания</w:t>
      </w:r>
    </w:p>
    <w:p>
      <w:pPr>
        <w:spacing w:after="100"/>
      </w:pPr>
      <w:r>
        <w:rPr>
          <w:sz w:val="21"/>
        </w:rPr>
        <w:t>Производство проходит два этапа: сначала сборку ведёт действующий завод по заказу группы, затем группа может перейти к собственной сборке.</w:t>
      </w:r>
    </w:p>
    <w:p>
      <w:pPr>
        <w:spacing w:before="160" w:after="40"/>
      </w:pPr>
      <w:r>
        <w:rPr>
          <w:b/>
          <w:color w:val="142647"/>
          <w:sz w:val="22"/>
        </w:rPr>
        <w:t>3.1 Первый этап — производство по заказу</w:t>
      </w:r>
    </w:p>
    <w:p>
      <w:pPr>
        <w:spacing w:after="100"/>
      </w:pPr>
      <w:r>
        <w:rPr>
          <w:sz w:val="21"/>
        </w:rPr>
        <w:t>Сборку выполняет Aero Vodochody (Чехия) — независимый завод с опытом производства самолётов этого класса. Группа заказывает сборку и сама закупает документацию, авионику (IAI, Израиль) и двигатели. Это избавляет от необходимости строить собственный завод, экономит капитальные вложения и время и опирается на готовый опыт и сертификацию.</w:t>
      </w:r>
    </w:p>
    <w:p>
      <w:pPr>
        <w:spacing w:after="100"/>
      </w:pPr>
      <w:r>
        <w:rPr>
          <w:sz w:val="21"/>
        </w:rPr>
        <w:t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 Риск возникает, только если группа разместит в Чехии собственный персонал, склад или производственную площадку.</w:t>
      </w:r>
    </w:p>
    <w:p>
      <w:pPr>
        <w:spacing w:before="160" w:after="40"/>
      </w:pPr>
      <w:r>
        <w:rPr>
          <w:b/>
          <w:color w:val="142647"/>
          <w:sz w:val="22"/>
        </w:rPr>
        <w:t>3.2 Второй этап — собственное производство</w:t>
      </w:r>
    </w:p>
    <w:p>
      <w:pPr>
        <w:spacing w:after="100"/>
      </w:pPr>
      <w:r>
        <w:rPr>
          <w:sz w:val="21"/>
        </w:rPr>
        <w:t>По мере роста группа может организовать собственную сборку: это требует вложений и времени, но даёт полный контроль над производством. Наиболее перспективна Польша — развитая авиационная промышленность, квалифицированные кадры, государственные льготы для крупных инвестиций, членство в НАТО и ЕС.</w:t>
      </w:r>
    </w:p>
    <w:p>
      <w:pPr>
        <w:spacing w:before="160" w:after="40"/>
      </w:pPr>
      <w:r>
        <w:rPr>
          <w:b/>
          <w:color w:val="142647"/>
          <w:sz w:val="22"/>
        </w:rPr>
        <w:t>3.3 Сравнение юрисдикций производства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Страна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 на прибыль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Стоимость труда, €/ч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Авиапром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10,6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базовый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Самый низкий налог и самая дешёвая рабочая сила в ЕС;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Румыния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12,5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Низкие издержки, есть авиапредприятия;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Польша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19%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Развитый авиапром, льготы, поддержка проекта;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Словакия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10–24%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базовый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Ставка 24% — только при выручке свыше 5 млн €; иначе 21% или 10%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Чехия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Лидер в классе; место сборки на первом этапе; член НАТО и ЕС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Для первого этапа операционную компанию рекомендуется разместить в Болгарии: сборку обеспечивает чешский подрядчик, а прибыль выгоднее накапливать в юрисдикции с самой низкой ставкой. Для второго этапа предпочтительна Польша.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4. Продающая компания</w:t>
      </w:r>
    </w:p>
    <w:p>
      <w:pPr>
        <w:spacing w:after="100"/>
      </w:pPr>
      <w:r>
        <w:rPr>
          <w:sz w:val="21"/>
        </w:rPr>
        <w:t>Продажа боевых самолётов требует военно-экспортной лицензии страны продавца и механизма подтверждения конечного пользователя. Продающая компания должна находиться в стране — члене НАТО и ЕС с действующим режимом военно-экспортного контроля; офшорные юрисдикции для этой роли не подходят.</w:t>
      </w:r>
    </w:p>
    <w:p>
      <w:pPr>
        <w:spacing w:before="160" w:after="40"/>
      </w:pPr>
      <w:r>
        <w:rPr>
          <w:b/>
          <w:color w:val="142647"/>
          <w:sz w:val="22"/>
        </w:rPr>
        <w:t>4.1 Сравнение юрисдикций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Страна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 на прибыль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Военно-экспортный режим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Передача прибыли в холдинг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развитый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 (обе страны в ЕС)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Чехия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крупный экспортёр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Польша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19%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Румыния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Словакия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21–24%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Продающую компанию рекомендуется разместить в Болгарии — там же, где операционную: самая низкая ставка, полноценный военно-экспортный режим члена НАТО и ЕС, передача прибыли в холдинг без потерь. Закупочную и продающую функции целесообразно разделить на две болгарские компании: одна владеет проектом и ведёт закупки, другая держит экспортную лицензию и продаёт самолёты. На налоговую нагрузку это не влияет, но делает структуру чище для лицензирования и распределяет ответственность.</w:t>
      </w:r>
    </w:p>
    <w:p>
      <w:pPr>
        <w:spacing w:after="100"/>
      </w:pPr>
      <w:r>
        <w:rPr>
          <w:sz w:val="21"/>
        </w:rPr>
        <w:t>Где оформляется экспортная лицензия: размещение лицензии в болгарской компании не решает вопрос автоматически. Поскольку на первом этапе самолёт собирается и отгружается из Чехии, могут применяться чешские экспортные правила и требоваться согласие чешских властей. Какая именно лицензия нужна для поставки в третью страну, разобрано в разделе 7.6.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5. Движение прибыли и налоговая нагрузка</w:t>
      </w:r>
    </w:p>
    <w:p>
      <w:pPr>
        <w:spacing w:after="100"/>
      </w:pPr>
      <w:r>
        <w:rPr>
          <w:sz w:val="21"/>
        </w:rPr>
        <w:t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 Ниже показано, как облагается прибыль на каждом шаге пути к инвестору.</w:t>
      </w:r>
    </w:p>
    <w:p>
      <w:pPr>
        <w:spacing w:before="160" w:after="40"/>
      </w:pPr>
      <w:r>
        <w:rPr>
          <w:b/>
          <w:color w:val="142647"/>
          <w:sz w:val="22"/>
        </w:rPr>
        <w:t>5.1 Почему Болгария для операционной и продающей компаний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Юрисдикция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Ставка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Оценка для нашей структуры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Венгрия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9%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Формально ниже, но не даёт преимущества: поверх 9% взимается местный налог с оборота (до 2%), из-за чего фактическая нагрузка приближается к болгарской или превышает её. Распространённое мнение о препятствиях со стороны правил о контролируемых иностранных компаниях ошибочно. Болгарская плоская ставка проще и устойчивее.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Плоская ставка без сложных условий; военно-экспортный режим; передача прибыли в холдинг ЕС без налога у источника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Ирландия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12,5%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Ставка 12,5% применяется только к торговому доходу; пассивный доход облагается по 25%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Кипр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Ставка повышена с 12,5% до 15% с 2026 года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Болгария с плоской ставкой 10%, членством в ЕС и полноценным военно-экспортным режимом — наиболее устойчивый выбор. Та же юрисдикция используется для продающей компании.</w:t>
      </w:r>
    </w:p>
    <w:p>
      <w:pPr>
        <w:spacing w:before="160" w:after="40"/>
      </w:pPr>
      <w:r>
        <w:rPr>
          <w:b/>
          <w:color w:val="142647"/>
          <w:sz w:val="22"/>
        </w:rPr>
        <w:t>5.2 Международный минимальный налог</w:t>
      </w:r>
    </w:p>
    <w:p>
      <w:pPr>
        <w:spacing w:after="100"/>
      </w:pPr>
      <w:r>
        <w:rPr>
          <w:sz w:val="21"/>
        </w:rPr>
        <w:t>Базовая ставка операционной прибыли — 10%. Правила международного минимального налога (известные как Pillar Two — глобальное соглашение, по которому крупные международные группы платят не менее 15%) применяются к группе с годовой консолидированной выручкой от 750 млн € как минимум в двух из четырёх предыдущих лет. Для проекта это отдалённый сценарий. Доплата может возникнуть раньше лишь в одном случае — если кто-то из инвесторов входит в крупную международную группу, которая включает проект в свою консолидированную отчётность.</w:t>
      </w:r>
    </w:p>
    <w:p>
      <w:pPr>
        <w:spacing w:before="160" w:after="40"/>
      </w:pPr>
      <w:r>
        <w:rPr>
          <w:b/>
          <w:color w:val="142647"/>
          <w:sz w:val="22"/>
        </w:rPr>
        <w:t>5.3 Налоговая нагрузка по шагам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Шаг движения прибыли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Налог на прибыль операционной компании (Болгария)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Самый низкий в ЕС; при достижении порога выручки возможна корректировка (раздел 5.2)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Передача прибыли из Болгарии в холдинг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По налоговому соглашению с Великобританией (доля не менее 10%, не менее года)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Выплата дивидендов инвесторам из холдинга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Великобритания не удерживает налог на дивиденды ни при каком составе собственников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Продажа долей инвесторами (выход)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ноль*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*На уровне структуры. Налог в стране проживания инвестора рассматривается отдельно (раздел 8)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5.4 Иллюстрация: путь 1 млн € прибыли</w:t>
      </w:r>
    </w:p>
    <w:p>
      <w:pPr>
        <w:spacing w:after="100"/>
      </w:pPr>
      <w:r>
        <w:rPr>
          <w:sz w:val="21"/>
        </w:rPr>
        <w:t>На схеме показано, как условный миллион евро операционной прибыли проходит через структуру к инвестору. Сумма иллюстративная и не является прогнозом прибыли проекта.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7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</w:rPr>
        <w:t>Совокупная налоговая нагрузка составляет 10% и формируется только болгарским налогом на прибыль. Налог, который инвестор заплатит в стране своего проживания, в иллюстрации не учтён.</w:t>
      </w:r>
    </w:p>
    <w:p>
      <w:pPr>
        <w:spacing w:after="100"/>
      </w:pPr>
      <w:r>
        <w:rPr>
          <w:sz w:val="21"/>
        </w:rPr>
        <w:t>Для сравнения — сколько дошло бы до инвестора из того же миллиона при менее эффективных конфигурациях: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8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42647"/>
          <w:sz w:val="22"/>
        </w:rPr>
        <w:t>5.5 Правовая основа</w:t>
      </w:r>
    </w:p>
    <w:p>
      <w:pPr>
        <w:spacing w:after="100"/>
      </w:pPr>
      <w:r>
        <w:rPr>
          <w:sz w:val="21"/>
        </w:rPr>
        <w:t>Выводы опираются на конкретные нормы: освобождение дивидендов между компаниями ЕС — Директива Совета 2011/96/ЕС; нулевой налог при передаче прибыли из Болгарии в Великобританию — статья 10 налогового соглашения 2015 года; освобождение полученных дивидендов в Великобритании — часть 9A Закона о корпоративном налоге 2009 года, а освобождение прироста при продаже долей — приложение 7AC к Закону о налоге на прирост капитала 1992 года; освобождение доходов от участия в Люксембурге — статьи 147 и 166 Закона о подоходном налоге; международный минимальный налог — Директива Совета ЕС 2022/2523. Полный перечень источников приведён в приложении.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6. Две модели владения правами на разработку</w:t>
      </w:r>
    </w:p>
    <w:p>
      <w:pPr>
        <w:spacing w:after="100"/>
      </w:pPr>
      <w:r>
        <w:rPr>
          <w:sz w:val="21"/>
        </w:rPr>
        <w:t>Под правами на разработку здесь понимаются конструкторская документация, права на самолёт и патенты. От того, у какой компании они находятся, зависит, где облагается прибыль и насколько защищён ключевой актив. Основной мы считаем первую модель; вторая — возможность для дополнительной налоговой оптимизации, которая раскрывается лишь после прояснения ряда условий и требует глубокой проработки.</w:t>
      </w:r>
    </w:p>
    <w:p>
      <w:pPr>
        <w:spacing w:before="160" w:after="40"/>
      </w:pPr>
      <w:r>
        <w:rPr>
          <w:b/>
          <w:color w:val="142647"/>
          <w:sz w:val="22"/>
        </w:rPr>
        <w:t>6.1 Модель 1 — права у операционной компании (рекомендуется)</w:t>
      </w:r>
    </w:p>
    <w:p>
      <w:pPr>
        <w:spacing w:after="100"/>
      </w:pPr>
      <w:r>
        <w:rPr>
          <w:sz w:val="21"/>
        </w:rPr>
        <w:t>Права на разработку принадлежат болгарской операционной компании — производителю. Холдинг владеет только долями и финансирует проект. Прибыль от продажи самолётов облагается в Болгарии по 10%, поднимается в холдинг дивидендами без удержания и распределяется инвесторам. Лицензионные платежи между компаниями не возникают.</w:t>
      </w:r>
    </w:p>
    <w:p>
      <w:pPr>
        <w:pStyle w:val="ListBullet"/>
        <w:spacing w:after="60"/>
      </w:pPr>
      <w:r>
        <w:rPr>
          <w:sz w:val="20"/>
        </w:rPr>
        <w:t>Простота: нет лицензий, роялти и сложного учёта, а значит меньше поводов для спора с налоговыми органами.</w:t>
      </w:r>
    </w:p>
    <w:p>
      <w:pPr>
        <w:pStyle w:val="ListBullet"/>
        <w:spacing w:after="60"/>
      </w:pPr>
      <w:r>
        <w:rPr>
          <w:sz w:val="20"/>
        </w:rPr>
        <w:t>Согласованность: права и производство находятся в одной компании, что отвечает международным правилам налогообложения.</w:t>
      </w:r>
    </w:p>
    <w:p>
      <w:pPr>
        <w:pStyle w:val="ListBullet"/>
        <w:spacing w:after="60"/>
      </w:pPr>
      <w:r>
        <w:rPr>
          <w:sz w:val="20"/>
        </w:rPr>
        <w:t>Надёжность: модель работает независимо от того, удастся ли запатентовать разработку и войдут ли подрядчики в капитал.</w:t>
      </w:r>
    </w:p>
    <w:p>
      <w:pPr>
        <w:pStyle w:val="ListBullet"/>
        <w:spacing w:after="60"/>
      </w:pPr>
      <w:r>
        <w:rPr>
          <w:sz w:val="20"/>
        </w:rPr>
        <w:t>Недостаток: права находятся в действующей компании и несут её операционные риски.</w:t>
      </w:r>
    </w:p>
    <w:p>
      <w:pPr>
        <w:spacing w:before="160" w:after="40"/>
      </w:pPr>
      <w:r>
        <w:rPr>
          <w:b/>
          <w:color w:val="142647"/>
          <w:sz w:val="22"/>
        </w:rPr>
        <w:t>6.2 Модель 2 — права у холдинга (потенциальная оптимизация)</w:t>
      </w:r>
    </w:p>
    <w:p>
      <w:pPr>
        <w:spacing w:after="100"/>
      </w:pPr>
      <w:r>
        <w:rPr>
          <w:sz w:val="21"/>
        </w:rPr>
        <w:t>Холдинг владеет правами на разработку, финансирует и заказывает её у подрядчиков, затем передаёт права операционной компании по лицензии и получает роялти. Если в стране холдинга действует льготный режим для доходов от интеллектуальной собственности (так называемый IP-box), роялти могут облагаться по пониженной эффективной ставке: Люксембург — около 5,2% (только патенты и защищённое программное обеспечение, но не товарные знаки и ноу-хау); Нидерланды — около 9%; Великобритания и Ирландия — 10%. Роялти из Болгарии в холдинг ЕС освобождены от налога у источника при доле не менее 25% в течение двух лет.</w:t>
      </w:r>
    </w:p>
    <w:p>
      <w:pPr>
        <w:spacing w:after="100"/>
      </w:pPr>
      <w:r>
        <w:rPr>
          <w:sz w:val="21"/>
        </w:rPr>
        <w:t>Применимость второй модели зависит от условий, которые на сегодня не определены:</w:t>
      </w:r>
    </w:p>
    <w:p>
      <w:pPr>
        <w:pStyle w:val="ListBullet"/>
        <w:spacing w:after="60"/>
      </w:pPr>
      <w:r>
        <w:rPr>
          <w:sz w:val="20"/>
        </w:rPr>
        <w:t>Характер прав. Льгота распространяется на патенты и защищённое программное обеспечение, но не на ноу-хау, документацию и товарные знаки. Требуется заключение патентных поверенных о патентоспособности ключевых решений самолёта.</w:t>
      </w:r>
    </w:p>
    <w:p>
      <w:pPr>
        <w:pStyle w:val="ListBullet"/>
        <w:spacing w:after="60"/>
      </w:pPr>
      <w:r>
        <w:rPr>
          <w:sz w:val="20"/>
        </w:rPr>
        <w:t>Независимость подрядчиков. Размер льготы пропорционален расходам на разработку, выполненную независимыми сторонами. Если ключевые партнёры входят в капитал и вносят собственные разработки, льгота резко сокращается.</w:t>
      </w:r>
    </w:p>
    <w:p>
      <w:pPr>
        <w:pStyle w:val="ListBullet"/>
        <w:spacing w:after="60"/>
      </w:pPr>
      <w:r>
        <w:rPr>
          <w:sz w:val="20"/>
        </w:rPr>
        <w:t>Реальная роль холдинга. Холдинг должен сам финансировать разработку и управлять ею, а не приобретать готовые права.</w:t>
      </w:r>
    </w:p>
    <w:p>
      <w:pPr>
        <w:spacing w:after="100"/>
      </w:pPr>
      <w:r>
        <w:rPr>
          <w:sz w:val="21"/>
        </w:rPr>
        <w:t>Вывод: если ключевые партнёры войдут в проект со своими разработками — а для авиапроектов это типично, — вторая модель льготы не даёт, и работоспособна только первая. Поэтому вторую модель стоит рассматривать как возможность для последующей оптимизации, а не как основу структуры на текущем этапе.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7. Риски и условия, от которых зависит результат</w:t>
      </w:r>
    </w:p>
    <w:p>
      <w:pPr>
        <w:spacing w:after="100"/>
      </w:pPr>
      <w:r>
        <w:rPr>
          <w:sz w:val="21"/>
        </w:rPr>
        <w:t>Налоговая структура — лишь часть картины. Перечисленные факторы определяют, будет ли получена прибыль и сохранятся ли налоговые преимущества, и проект следует оценивать с их учётом.</w:t>
      </w:r>
    </w:p>
    <w:p>
      <w:pPr>
        <w:spacing w:before="160" w:after="40"/>
      </w:pPr>
      <w:r>
        <w:rPr>
          <w:b/>
          <w:color w:val="142647"/>
          <w:sz w:val="22"/>
        </w:rPr>
        <w:t>7.1 Деловая цель структуры</w:t>
      </w:r>
    </w:p>
    <w:p>
      <w:pPr>
        <w:spacing w:after="100"/>
      </w:pPr>
      <w:r>
        <w:rPr>
          <w:sz w:val="21"/>
        </w:rPr>
        <w:t>Налоговые льготы сохраняются только при наличии у структуры реальной деловой цели, а не одной лишь налоговой экономии. Налоговые органы вправе отказать в льготах, если единственной целью построения структуры было их получение. У каждого элемента структуры есть самостоятельное обоснование:</w:t>
      </w:r>
    </w:p>
    <w:p>
      <w:pPr>
        <w:pStyle w:val="ListBullet"/>
        <w:spacing w:after="60"/>
      </w:pPr>
      <w:r>
        <w:rPr>
          <w:sz w:val="20"/>
        </w:rPr>
        <w:t>Холдинг объединяет инвесторов из разных стран в единую точку владения, обеспечивает управление, финансирование и выход.</w:t>
      </w:r>
    </w:p>
    <w:p>
      <w:pPr>
        <w:pStyle w:val="ListBullet"/>
        <w:spacing w:after="60"/>
      </w:pPr>
      <w:r>
        <w:rPr>
          <w:sz w:val="20"/>
        </w:rPr>
        <w:t>Операционная компания в Болгарии несёт реальные функции: заказ производства, закупки, владение проектом и правами на разработку.</w:t>
      </w:r>
    </w:p>
    <w:p>
      <w:pPr>
        <w:pStyle w:val="ListBullet"/>
        <w:spacing w:after="60"/>
      </w:pPr>
      <w:r>
        <w:rPr>
          <w:sz w:val="20"/>
        </w:rPr>
        <w:t>Продающая компания в Болгарии существует ради военно-экспортной функции: держит лицензию, ведёт государственные контракты и послепродажное обслуживание. Разделение продаж и производства — отраслевая норма (например, Aero Vodochody и Omnipol).</w:t>
      </w:r>
    </w:p>
    <w:p>
      <w:pPr>
        <w:pStyle w:val="ListBullet"/>
        <w:spacing w:after="60"/>
      </w:pPr>
      <w:r>
        <w:rPr>
          <w:sz w:val="20"/>
        </w:rPr>
        <w:t>Сборка в Чехии на первом этапе — использование сертифицированного завода вместо строительства собственного.</w:t>
      </w:r>
    </w:p>
    <w:p>
      <w:pPr>
        <w:pStyle w:val="ListBullet"/>
        <w:spacing w:after="60"/>
      </w:pPr>
      <w:r>
        <w:rPr>
          <w:sz w:val="20"/>
        </w:rPr>
        <w:t>Выбор Болгарии обусловлен не только ставкой, но и членством в ЕС, военно-экспортным режимом и предсказуемостью регулирования.</w:t>
      </w:r>
    </w:p>
    <w:p>
      <w:pPr>
        <w:spacing w:before="160" w:after="40"/>
      </w:pPr>
      <w:r>
        <w:rPr>
          <w:b/>
          <w:color w:val="142647"/>
          <w:sz w:val="22"/>
        </w:rPr>
        <w:t>7.2 Реальное присутствие</w:t>
      </w:r>
    </w:p>
    <w:p>
      <w:pPr>
        <w:spacing w:after="100"/>
      </w:pPr>
      <w:r>
        <w:rPr>
          <w:sz w:val="21"/>
        </w:rPr>
        <w:t>Нулевые и пониженные ставки действуют только при реальном присутствии компаний: собственном управлении, персонале, офисе и принятии решений по месту регистрации. Это требует расходов на содержание, которые следует заложить в бюджет. Для оборонного проекта структура будет под повышенным вниманием банков и регуляторов.</w:t>
      </w:r>
    </w:p>
    <w:p>
      <w:pPr>
        <w:spacing w:before="160" w:after="40"/>
      </w:pPr>
      <w:r>
        <w:rPr>
          <w:b/>
          <w:color w:val="142647"/>
          <w:sz w:val="22"/>
        </w:rPr>
        <w:t>7.3 Экономика продукта</w:t>
      </w:r>
    </w:p>
    <w:p>
      <w:pPr>
        <w:spacing w:after="100"/>
      </w:pPr>
      <w:r>
        <w:rPr>
          <w:sz w:val="21"/>
        </w:rPr>
        <w:t>Меморандум не оценивает коммерческие показатели проекта — цену, себестоимость, маржу, объёмы. Налоговые выводы применимы при любом уровне прибыли, но фактическая доходность зависит от коммерческих допущений, которые в настоящий документ не входят.</w:t>
      </w:r>
    </w:p>
    <w:p>
      <w:pPr>
        <w:spacing w:before="160" w:after="40"/>
      </w:pPr>
      <w:r>
        <w:rPr>
          <w:b/>
          <w:color w:val="142647"/>
          <w:sz w:val="22"/>
        </w:rPr>
        <w:t>7.4 Экспортный контроль</w:t>
      </w:r>
    </w:p>
    <w:p>
      <w:pPr>
        <w:spacing w:after="100"/>
      </w:pPr>
      <w:r>
        <w:rPr>
          <w:sz w:val="21"/>
        </w:rPr>
        <w:t>Экспорт боевых самолётов зависит от государственных лицензий, которые выдаются по усмотрению властей и могут быть ограничены или отозваны; круг покупателей ограничен. Отдельного внимания требует авионика IAI: она подпадает под израильский экспортный контроль, поэтому при её установке и последующем реэкспорте необходимы разрешения и сертификат конечного пользователя.</w:t>
      </w:r>
    </w:p>
    <w:p>
      <w:pPr>
        <w:spacing w:before="160" w:after="40"/>
      </w:pPr>
      <w:r>
        <w:rPr>
          <w:b/>
          <w:color w:val="142647"/>
          <w:sz w:val="22"/>
        </w:rPr>
        <w:t>7.5 Допуск иностранных собственников к оборонному активу</w:t>
      </w:r>
    </w:p>
    <w:p>
      <w:pPr>
        <w:spacing w:after="100"/>
      </w:pPr>
      <w:r>
        <w:rPr>
          <w:sz w:val="21"/>
        </w:rPr>
        <w:t>Это, возможно, главный фактор реализуемости. Прежде всего важно зафиксировать: прямого запрета на участие иностранных, в том числе ближневосточных, инвесторов в оборонных авиационных проектах НАТО и ЕС не существует. Практика это подтверждает — суверенный фонд Абу-Даби Mubadala несколько лет полностью владел итальянским производителем авиатехники военного и двойного назначения Piaggio Aerospace; государственная оборонная группа ОАЭ EDGE инвестирует в Польше, Эстонии и Швейцарии; а сам завод Aero Vodochody находится в частном владении. Вопрос, таким образом, не в запрете, а в условиях допуска.</w:t>
      </w:r>
    </w:p>
    <w:p>
      <w:pPr>
        <w:spacing w:after="100"/>
      </w:pPr>
      <w:r>
        <w:rPr>
          <w:sz w:val="21"/>
        </w:rPr>
        <w:t>Эти условия задаёт проверка иностранных инвестиций на предмет национальной безопасности (в Евросоюзе — на основании Регламента (ЕС) 2019/452). Её следует отличать от экспортного лицензирования (раздел 7.6): первая оценивает, кто владеет компанией, второе — можно ли вывезти продукцию. В нашей структуре проверка владения затрагивает прежде всего Болгарию.</w:t>
      </w:r>
    </w:p>
    <w:p>
      <w:pPr>
        <w:pStyle w:val="ListBullet"/>
        <w:spacing w:after="60"/>
      </w:pPr>
      <w:r>
        <w:rPr>
          <w:sz w:val="20"/>
        </w:rPr>
        <w:t>Болгария — основная страна проверки. Режим введён поправками в Закон о поощрении инвестиций (в силе с 12 марта 2024 года; правила применения действуют с 22 июля 2025 года). Проверка применяется при приобретении доли от 10% или инвестиции свыше 2 млн €. Если в капитале инвестора значимо участвует государственный орган страны вне ЕС (это типично для суверенных фондов Залива), проверка обязательна независимо от суммы. Межведомственный совет выносит решение в срок до 45 рабочих дней.</w:t>
      </w:r>
    </w:p>
    <w:p>
      <w:pPr>
        <w:pStyle w:val="ListBullet"/>
        <w:spacing w:after="60"/>
      </w:pPr>
      <w:r>
        <w:rPr>
          <w:sz w:val="20"/>
        </w:rPr>
        <w:t>Чехия — проверка владения, как правило, не возникает: по Закону № 34/2021 она применяется к приобретению контроля над чешской компанией оборонного профиля, а завод Aero Vodochody группа не покупает, лишь размещает заказ.</w:t>
      </w:r>
    </w:p>
    <w:p>
      <w:pPr>
        <w:pStyle w:val="ListBullet"/>
        <w:spacing w:after="60"/>
      </w:pPr>
      <w:r>
        <w:rPr>
          <w:sz w:val="20"/>
        </w:rPr>
        <w:t>Польша — значима только если собственный завод второго этапа разместить в Польше; в базовой структуре её нет.</w:t>
      </w:r>
    </w:p>
    <w:p>
      <w:pPr>
        <w:spacing w:after="100"/>
      </w:pPr>
      <w:r>
        <w:rPr>
          <w:sz w:val="21"/>
        </w:rPr>
        <w:t>Держатель лицензии, контролируемый инвесторами вне НАТО и ЕС, проходит проверку с наибольшей вероятностью ограничений. Снизить риск позволяет отделение экономического участия от контроля — приём, давно отработанный в оборонной практике (в США это режим FOCI: от соглашения о контроле за безопасностью до доверительного управления голосами силами лиц с допуском). Применительно к проекту это означает следующее:</w:t>
      </w:r>
    </w:p>
    <w:p>
      <w:pPr>
        <w:pStyle w:val="ListBullet"/>
        <w:spacing w:after="60"/>
      </w:pPr>
      <w:r>
        <w:rPr>
          <w:sz w:val="20"/>
        </w:rPr>
        <w:t>Инвесторы вне НАТО получают экономическое участие — долю в прибыли и приросте стоимости, — но не контроль; для этого вводятся акции с ограниченным правом голоса.</w:t>
      </w:r>
    </w:p>
    <w:p>
      <w:pPr>
        <w:pStyle w:val="ListBullet"/>
        <w:spacing w:after="60"/>
      </w:pPr>
      <w:r>
        <w:rPr>
          <w:sz w:val="20"/>
        </w:rPr>
        <w:t>Контроль над компанией-лицензиатом закрепляется за лицами из стран НАТО и ЕС: через специальный класс акций, право вето, директоров с допуском к гостайне или соглашение о безопасности.</w:t>
      </w:r>
    </w:p>
    <w:p>
      <w:pPr>
        <w:pStyle w:val="ListBullet"/>
        <w:spacing w:after="60"/>
      </w:pPr>
      <w:r>
        <w:rPr>
          <w:sz w:val="20"/>
        </w:rPr>
        <w:t>Предварительную консультацию с болгарским регулятором проводят до подписания, а закрытие сделки ставят в зависимость от получения разрешения.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6024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contr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0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Разделение экономического участия и контроля: прибыль получают все инвесторы, а управление компанией-лицензиатом остаётся за лицами из стран НАТО и ЕС.</w:t>
      </w:r>
    </w:p>
    <w:p>
      <w:pPr>
        <w:spacing w:before="160" w:after="40"/>
      </w:pPr>
      <w:r>
        <w:rPr>
          <w:b/>
          <w:color w:val="142647"/>
          <w:sz w:val="22"/>
        </w:rPr>
        <w:t>7.6 В какой стране оформляется экспортная лицензия</w:t>
      </w:r>
    </w:p>
    <w:p>
      <w:pPr>
        <w:spacing w:after="100"/>
      </w:pPr>
      <w:r>
        <w:rPr>
          <w:sz w:val="21"/>
        </w:rPr>
        <w:t>Размещение лицензии в болгарской продающей компании не решает вопрос автоматически. По правилам Европейского союза о передаче оборонной продукции внутри ЕС (Директива 2009/43/ЕС, статья 10) перемещение товара между странами союза не отменяет права государства контролировать его вывоз за пределы ЕС: при последующем экспорте получатель обязан соблюсти экспортные ограничения страны происхождения и при необходимости получить её согласие. Поскольку на первом этапе самолёт собирается и отгружается из Чехии, чешские правила и согласие применяются и при продаже через Болгарию. Конкретный порядок лицензирования следует согласовать с чешским и болгарским регуляторами до заключения контрактов.</w:t>
      </w:r>
    </w:p>
    <w:p>
      <w:pPr>
        <w:spacing w:before="160" w:after="40"/>
      </w:pPr>
      <w:r>
        <w:rPr>
          <w:b/>
          <w:color w:val="142647"/>
          <w:sz w:val="22"/>
        </w:rPr>
        <w:t>7.7 Коммерческие допущения</w:t>
      </w:r>
    </w:p>
    <w:p>
      <w:pPr>
        <w:spacing w:after="100"/>
      </w:pPr>
      <w:r>
        <w:rPr>
          <w:sz w:val="21"/>
        </w:rPr>
        <w:t>Структура первого этапа предполагает согласие завода Aero Vodochody на сборку по заказу группы и исполнение обязательств ключевыми поставщиками. Эти договорённости должны быть закреплены договорами; до этого они остаются допущениями.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8. Границы меморандума</w:t>
      </w:r>
    </w:p>
    <w:p>
      <w:pPr>
        <w:spacing w:after="100"/>
      </w:pPr>
      <w:r>
        <w:rPr>
          <w:sz w:val="21"/>
        </w:rPr>
        <w:t>Меморандум посвящён международной налоговой и корпоративной структуре проекта: выбору юрисдикций, движению прибыли и налогообложению инвесторов. Эти выводы проверены по действующему законодательству. Ряд вопросов остаётся за рамками документа и требует отдельной проработки.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Что охватывает меморандум</w:t>
            </w:r>
          </w:p>
        </w:tc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Что требует отдельной проработки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Выбор юрисдикций для холдинга, операционной и продающей компаний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Финансовая модель: доходность, денежные потоки, вложения, окупаемость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Движение прибыли и налог у источника на уровне структуры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Налог инвестора в стране его проживания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Налогообложение инвесторов при распределении прибыли и выходе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Защита прав инвесторов: акционерное соглашение, права меньшинства, выход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Принципиальная допустимость структуры поставок (с учётом раздела 7.6)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Допуск иностранных собственников к оборонному активу (раздел 7.5)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Корпоративный налог, дивиденды, роялти, прирост капитала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Прочие налоги (НДС, удержания по услугам), стоимость присутствия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Коммерческая и техническая состоятельность продукта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Конкретная ставка налога для инвестора зависит от размера его доли (нулевое удержание предполагает долю не менее 10% через компанию) и его собственного налогового статуса. Инвесторам с долей менее 10% или с владением через низконалоговые юрисдикции потребуется индивидуальный анализ.</w:t>
      </w:r>
    </w:p>
    <w:p>
      <w:r>
        <w:rPr>
          <w:i/>
          <w:color w:val="5F5F5F"/>
          <w:sz w:val="17"/>
        </w:rPr>
        <w:t>Настоящий меморандум подготовлен организаторами проекта для предварительного обсуждения с инвесторами и не является окончательной налоговой или юридической консультацией. Ставки и правовые выводы приведены по состоянию на 2026 год и проверены по действующему национальному законодательству и международным налоговым соглашениям. Отдельные параметры подлежат подтверждению местными консультантами при внедрении структуры.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9. Акционерное соглашение: ключевые условия</w:t>
      </w:r>
    </w:p>
    <w:p>
      <w:pPr>
        <w:spacing w:after="100"/>
      </w:pPr>
      <w:r>
        <w:rPr>
          <w:sz w:val="21"/>
        </w:rPr>
        <w:t>Раздел задаёт каркас отношений между инвесторами и инициаторами проекта на уровне холдинга. Это перечень ключевых условий для последующей детальной проработки юристами; он не заменяет полный текст акционерного соглашения.</w:t>
      </w:r>
    </w:p>
    <w:p>
      <w:pPr>
        <w:spacing w:before="160" w:after="40"/>
      </w:pPr>
      <w:r>
        <w:rPr>
          <w:b/>
          <w:color w:val="142647"/>
          <w:sz w:val="22"/>
        </w:rPr>
        <w:t>9.1 Стороны и капитал</w:t>
      </w:r>
    </w:p>
    <w:p>
      <w:pPr>
        <w:pStyle w:val="ListBullet"/>
        <w:spacing w:after="60"/>
      </w:pPr>
      <w:r>
        <w:rPr>
          <w:sz w:val="20"/>
        </w:rPr>
        <w:t>Стороны — инвесторы и инициаторы проекта (учредители) как акционеры британского холдинга.</w:t>
      </w:r>
    </w:p>
    <w:p>
      <w:pPr>
        <w:pStyle w:val="ListBullet"/>
        <w:spacing w:after="60"/>
      </w:pPr>
      <w:r>
        <w:rPr>
          <w:sz w:val="20"/>
        </w:rPr>
        <w:t>При необходимости вводятся разные классы акций — чтобы отделить экономическое участие от права контроля.</w:t>
      </w:r>
    </w:p>
    <w:p>
      <w:pPr>
        <w:pStyle w:val="ListBullet"/>
        <w:spacing w:after="60"/>
      </w:pPr>
      <w:r>
        <w:rPr>
          <w:sz w:val="20"/>
        </w:rPr>
        <w:t>Средства вносятся траншами по мере достижения этапов проекта.</w:t>
      </w:r>
    </w:p>
    <w:p>
      <w:pPr>
        <w:spacing w:before="160" w:after="40"/>
      </w:pPr>
      <w:r>
        <w:rPr>
          <w:b/>
          <w:color w:val="142647"/>
          <w:sz w:val="22"/>
        </w:rPr>
        <w:t>9.2 Управление</w:t>
      </w:r>
    </w:p>
    <w:p>
      <w:pPr>
        <w:pStyle w:val="ListBullet"/>
        <w:spacing w:after="60"/>
      </w:pPr>
      <w:r>
        <w:rPr>
          <w:sz w:val="20"/>
        </w:rPr>
        <w:t>Совет директоров включает представителей инвесторов и инициаторов и хотя бы одного независимого директора; для оборонных и экспортных решений — директора из стран НАТО и ЕС с допуском к гостайне.</w:t>
      </w:r>
    </w:p>
    <w:p>
      <w:pPr>
        <w:pStyle w:val="ListBullet"/>
        <w:spacing w:after="60"/>
      </w:pPr>
      <w:r>
        <w:rPr>
          <w:sz w:val="20"/>
        </w:rPr>
        <w:t>Решения по наиболее важным вопросам принимаются квалифицированным большинством или с правом вето: бюджет и крупные вложения, привлечение займов, выпуск новых акций, сделки со связанными сторонами, передача прав на разработку, смена контроля, выбор экспортных рынков, слияния и поглощения, ликвидация.</w:t>
      </w:r>
    </w:p>
    <w:p>
      <w:pPr>
        <w:pStyle w:val="ListBullet"/>
        <w:spacing w:after="60"/>
      </w:pPr>
      <w:r>
        <w:rPr>
          <w:sz w:val="20"/>
        </w:rPr>
        <w:t>За операционную реализацию отвечают инициаторы; предусматриваются условия об удержании ключевых лиц и о постепенном закреплении их долей.</w:t>
      </w:r>
    </w:p>
    <w:p>
      <w:pPr>
        <w:spacing w:before="160" w:after="40"/>
      </w:pPr>
      <w:r>
        <w:rPr>
          <w:b/>
          <w:color w:val="142647"/>
          <w:sz w:val="22"/>
        </w:rPr>
        <w:t>9.3 Защита миноритарных инвесторов и переход долей</w:t>
      </w:r>
    </w:p>
    <w:p>
      <w:pPr>
        <w:pStyle w:val="ListBullet"/>
        <w:spacing w:after="60"/>
      </w:pPr>
      <w:r>
        <w:rPr>
          <w:sz w:val="20"/>
        </w:rPr>
        <w:t>Право на информацию, защита от размывания доли и право присоединиться к продаже на тех же условиях, что у мажоритария.</w:t>
      </w:r>
    </w:p>
    <w:p>
      <w:pPr>
        <w:pStyle w:val="ListBullet"/>
        <w:spacing w:after="60"/>
      </w:pPr>
      <w:r>
        <w:rPr>
          <w:sz w:val="20"/>
        </w:rPr>
        <w:t>Ограничения на отчуждение: запрет продажи в течение оговорённого срока, право других акционеров на первоочередной выкуп.</w:t>
      </w:r>
    </w:p>
    <w:p>
      <w:pPr>
        <w:pStyle w:val="ListBullet"/>
        <w:spacing w:after="60"/>
      </w:pPr>
      <w:r>
        <w:rPr>
          <w:sz w:val="20"/>
        </w:rPr>
        <w:t>Любая передача доли возможна только при условии прохождения проверки иностранных инвестиций и сохранения допуска к лицензии.</w:t>
      </w:r>
    </w:p>
    <w:p>
      <w:pPr>
        <w:spacing w:before="160" w:after="40"/>
      </w:pPr>
      <w:r>
        <w:rPr>
          <w:b/>
          <w:color w:val="142647"/>
          <w:sz w:val="22"/>
        </w:rPr>
        <w:t>9.4 Выход и разрешение тупиковых ситуаций</w:t>
      </w:r>
    </w:p>
    <w:p>
      <w:pPr>
        <w:pStyle w:val="ListBullet"/>
        <w:spacing w:after="60"/>
      </w:pPr>
      <w:r>
        <w:rPr>
          <w:sz w:val="20"/>
        </w:rPr>
        <w:t>Выход — через публичное размещение или продажу стратегическому инвестору; при квалифицированном большинстве миноритарии обязаны присоединиться к продаже.</w:t>
      </w:r>
    </w:p>
    <w:p>
      <w:pPr>
        <w:pStyle w:val="ListBullet"/>
        <w:spacing w:after="60"/>
      </w:pPr>
      <w:r>
        <w:rPr>
          <w:sz w:val="20"/>
        </w:rPr>
        <w:t>Тупиковые ситуации разрешаются через эскалацию, посредничество и опционы выкупа долей.</w:t>
      </w:r>
    </w:p>
    <w:p>
      <w:pPr>
        <w:spacing w:before="160" w:after="40"/>
      </w:pPr>
      <w:r>
        <w:rPr>
          <w:b/>
          <w:color w:val="142647"/>
          <w:sz w:val="22"/>
        </w:rPr>
        <w:t>9.5 Применимое право и предварительные условия</w:t>
      </w:r>
    </w:p>
    <w:p>
      <w:pPr>
        <w:pStyle w:val="ListBullet"/>
        <w:spacing w:after="60"/>
      </w:pPr>
      <w:r>
        <w:rPr>
          <w:sz w:val="20"/>
        </w:rPr>
        <w:t>Применимое право — английское; споры разрешаются международным арбитражем.</w:t>
      </w:r>
    </w:p>
    <w:p>
      <w:pPr>
        <w:pStyle w:val="ListBullet"/>
        <w:spacing w:after="60"/>
      </w:pPr>
      <w:r>
        <w:rPr>
          <w:sz w:val="20"/>
        </w:rPr>
        <w:t>Обязательства по соблюдению экспортного контроля и санкционного режима, прозрачность бенефициарного владения.</w:t>
      </w:r>
    </w:p>
    <w:p>
      <w:pPr>
        <w:pStyle w:val="ListBullet"/>
        <w:spacing w:after="60"/>
      </w:pPr>
      <w:r>
        <w:rPr>
          <w:sz w:val="20"/>
        </w:rPr>
        <w:t>Условия закрытия сделки: разрешение болгарского регулятора по иностранным инвестициям, согласованный порядок экспортного лицензирования и заключённые договоры с Aero Vodochody, IAI и поставщиками двигателя.</w:t>
      </w:r>
    </w:p>
    <w:p>
      <w:r>
        <w:br w:type="page"/>
      </w:r>
    </w:p>
    <w:p>
      <w:pPr>
        <w:pBdr>
          <w:bottom w:val="single" w:sz="6" w:space="2" w:color="142647"/>
        </w:pBdr>
      </w:pPr>
      <w:r>
        <w:rPr>
          <w:b/>
          <w:color w:val="142647"/>
          <w:sz w:val="30"/>
        </w:rPr>
        <w:t>Приложение. Правовые источники</w:t>
      </w:r>
    </w:p>
    <w:p>
      <w:pPr>
        <w:spacing w:after="100"/>
      </w:pPr>
      <w:r>
        <w:rPr>
          <w:sz w:val="21"/>
        </w:rPr>
        <w:t>Ниже перечислены первичные правовые акты с указанием конкретных статей, на которых основаны выводы меморандума. Они сверены по официальным текстам; при согласовании структуры подлежат подтверждению местными юристами.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Освобождение дивидендов между компаниями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2011/96/ЕС от 30.11.2011 (материнские и дочерние компании)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Освобождение роялти между компаниями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2003/49/ЕС от 03.06.2003: статья 3 (порог 25%), статья 1(10) (срок до 2 лет — на усмотрение государства)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Международный минимальный налог (15%)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(ЕС) 2022/2523 от 14.12.2022 (порог 750 млн €)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Болгария → Великобритания, дивиденды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Соглашение об избежании двойного налогообложения 2015 года (в Великобритании — SI 2015/1891), статья 10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Великобритания: освобождение полученных дивидендов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корпоративном налоге 2009 года, часть 9A (§§ 931A–931W)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Великобритания: освобождение при продаже долей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налоге на прирост капитала 1992 года, приложение 7AC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Люксембург: освобождение доходов от участия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подоходном налоге (LIR): статья 166 (дивиденды и прирост), статья 147 (освобождение удержания)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Люксембург: льготный режим для прав на разработку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подоходном налоге (LIR), статья 50ter (освобождение 80%)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Болгария: налог на прибыль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корпоративном подоходном налоге (ЗКПО), статья 20 — 10%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в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Регламент (ЕС) 2019/452 от 19.03.2019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в Болгарии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поощрении инвестиций (поправки — Гос. вестник № 20 от 08.03.2024, в силе с 12.03.2024; правила применения — № 59 от 22.07.2025)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в Чехии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№ 34/2021 Coll. о проверке иностранных инвестиций (в силе с 01.05.2021)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Передача оборонной продукции внутри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2009/43/ЕС от 06.05.2009, статья 10 (экспортные ограничения)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Прецеденты иностранного владения авиапроизводителями оборонного и двойного назначения в НАТО и ЕС (раздел 7.5): Mubadala (ОАЭ) — Piaggio Aerospace (Италия); EDGE (ОАЭ) — инвестиции в Польше, Эстонии и Швейцарии; Aero Vodochody (Чехия) — частное владение.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5"/>
      </w:rPr>
      <w:t>Меморандум о структуре проекта · для инвесторов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