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42647"/>
          <w:sz w:val="26"/>
        </w:rPr>
        <w:t>ОРГАНИЗАТОРЫ ПРОЕКТА</w:t>
      </w:r>
    </w:p>
    <w:p>
      <w:pPr>
        <w:jc w:val="center"/>
      </w:pPr>
      <w:r>
        <w:rPr>
          <w:color w:val="5F5F5F"/>
          <w:sz w:val="20"/>
        </w:rPr>
        <w:t>КОНФИДЕНЦИАЛЬНЫЙ МЕМОРАНДУМ · Проект L-259U</w:t>
      </w:r>
    </w:p>
    <w:p/>
    <w:p>
      <w:pPr>
        <w:jc w:val="center"/>
      </w:pPr>
      <w:r>
        <w:rPr>
          <w:b/>
          <w:color w:val="142647"/>
          <w:sz w:val="68"/>
        </w:rPr>
        <w:t>«STRIKER»</w:t>
      </w:r>
    </w:p>
    <w:p>
      <w:pPr>
        <w:jc w:val="center"/>
      </w:pPr>
      <w:r>
        <w:rPr>
          <w:sz w:val="24"/>
        </w:rPr>
        <w:t>Меморандум о международной корпоративной и налоговой структуре проекта — для инвесторов</w:t>
      </w:r>
    </w:p>
    <w:p>
      <w:pPr>
        <w:jc w:val="center"/>
      </w:pPr>
      <w:r>
        <w:rPr>
          <w:i/>
          <w:color w:val="5F5F5F"/>
          <w:sz w:val="20"/>
        </w:rPr>
        <w:t>Производство и поставка лёгкого боевого самолёта</w:t>
      </w:r>
    </w:p>
    <w:p/>
    <w:p>
      <w:pPr>
        <w:jc w:val="center"/>
      </w:pPr>
      <w:r>
        <w:rPr>
          <w:color w:val="5F5F5F"/>
          <w:sz w:val="18"/>
        </w:rPr>
        <w:t>2026 · Выводы проверены по текстам действующих законов и международных налоговых соглашений</w:t>
      </w:r>
    </w:p>
    <w:p>
      <w:r>
        <w:br w:type="page"/>
      </w:r>
    </w:p>
    <w:p>
      <w:pPr>
        <w:pBdr>
          <w:bottom w:val="single" w:sz="6" w:space="2" w:color="142647"/>
        </w:pBdr>
      </w:pPr>
      <w:r>
        <w:rPr>
          <w:b/>
          <w:color w:val="142647"/>
          <w:sz w:val="30"/>
        </w:rPr>
        <w:t>Резюме</w:t>
      </w:r>
    </w:p>
    <w:p>
      <w:pPr>
        <w:spacing w:after="100"/>
      </w:pPr>
      <w:r>
        <w:rPr>
          <w:sz w:val="21"/>
        </w:rPr>
        <w:t>Ниже изложены рекомендованная структура проекта, её налоговый результат, вопросы, которые предстоит закрыть до сделки, и ближайшие шаги. Подробное обоснование приведено в разделах 1–9.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6048000" cy="1705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s_summa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705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F5F5F"/>
          <w:sz w:val="16"/>
        </w:rPr>
        <w:t>На первом этапе сборку выполняет независимый чешский завод Aero Vodochody по заказу группы; права на самолёт остаются у группы. Компоненты поставляют внешние партнёры (в том числе авионику — IAI, Израиль).</w:t>
      </w:r>
    </w:p>
    <w:p>
      <w:pPr>
        <w:spacing w:before="160" w:after="40"/>
      </w:pPr>
      <w:r>
        <w:rPr>
          <w:b/>
          <w:color w:val="142647"/>
          <w:sz w:val="22"/>
        </w:rPr>
        <w:t>Налоговый результат</w:t>
      </w:r>
    </w:p>
    <w:p>
      <w:pPr>
        <w:spacing w:after="100"/>
      </w:pPr>
      <w:r>
        <w:rPr>
          <w:sz w:val="21"/>
        </w:rPr>
        <w:t>Прибыль облагается налогом только один раз — в Болгарии по ставке 10%, самой низкой в Европейском союзе. При передаче прибыли вверх в холдинг и далее инвесторам налог у источника не возникает. В результате из каждого миллиона евро операционной прибыли до инвестора доходит около 900 тысяч евро.</w:t>
      </w:r>
    </w:p>
    <w:p>
      <w:pPr>
        <w:spacing w:before="160" w:after="40"/>
      </w:pPr>
      <w:r>
        <w:rPr>
          <w:b/>
          <w:color w:val="142647"/>
          <w:sz w:val="22"/>
        </w:rPr>
        <w:t>Что предстоит проверить до закрытия сделки</w:t>
      </w:r>
    </w:p>
    <w:p>
      <w:pPr>
        <w:spacing w:after="100"/>
      </w:pPr>
      <w:r>
        <w:rPr>
          <w:sz w:val="21"/>
        </w:rPr>
        <w:t>Три вопроса определяют, реализуема ли структура в выбранном составе собственников. Их следует прояснить до её оформления.</w:t>
      </w:r>
    </w:p>
    <w:p>
      <w:pPr>
        <w:pStyle w:val="ListBullet"/>
        <w:spacing w:after="60"/>
      </w:pPr>
      <w:r>
        <w:rPr>
          <w:sz w:val="20"/>
        </w:rPr>
        <w:t>Допуск иностранных собственников к оборонному активу. Государство проверяет иностранные инвестиции в оборонную отрасль на предмет национальной безопасности и вправе их ограничить. Нужно заранее выяснить, на каких условиях болгарский регулятор допустит иностранное владение (раздел 7.5).</w:t>
      </w:r>
    </w:p>
    <w:p>
      <w:pPr>
        <w:pStyle w:val="ListBullet"/>
        <w:spacing w:after="60"/>
      </w:pPr>
      <w:r>
        <w:rPr>
          <w:sz w:val="20"/>
        </w:rPr>
        <w:t>Страна выдачи экспортной лицензии. Поскольку на первом этапе самолёт собирается в Чехии, требуется определить, чья лицензия необходима для поставки конечному заказчику (раздел 7.6).</w:t>
      </w:r>
    </w:p>
    <w:p>
      <w:pPr>
        <w:pStyle w:val="ListBullet"/>
        <w:spacing w:after="60"/>
      </w:pPr>
      <w:r>
        <w:rPr>
          <w:sz w:val="20"/>
        </w:rPr>
        <w:t>Контроль над компанией-лицензиатом. Компания, держащая военно-экспортную лицензию, должна управляться лицами из стран НАТО и ЕС, даже если экономическую долю в проекте имеют другие инвесторы (разделы 7.5 и 9).</w:t>
      </w:r>
    </w:p>
    <w:p>
      <w:pPr>
        <w:spacing w:before="160" w:after="40"/>
      </w:pPr>
      <w:r>
        <w:rPr>
          <w:b/>
          <w:color w:val="142647"/>
          <w:sz w:val="22"/>
        </w:rPr>
        <w:t>Ближайшие шаги</w:t>
      </w:r>
    </w:p>
    <w:p>
      <w:pPr>
        <w:pStyle w:val="ListBullet"/>
        <w:spacing w:after="60"/>
      </w:pPr>
      <w:r>
        <w:rPr>
          <w:sz w:val="20"/>
        </w:rPr>
        <w:t>Предварительная консультация с болгарским регулятором о допустимых условиях иностранного владения и о выдаче лицензии.</w:t>
      </w:r>
    </w:p>
    <w:p>
      <w:pPr>
        <w:pStyle w:val="ListBullet"/>
        <w:spacing w:after="60"/>
      </w:pPr>
      <w:r>
        <w:rPr>
          <w:sz w:val="20"/>
        </w:rPr>
        <w:t>Согласование с чешским и болгарским регуляторами порядка экспортного лицензирования.</w:t>
      </w:r>
    </w:p>
    <w:p>
      <w:pPr>
        <w:pStyle w:val="ListBullet"/>
        <w:spacing w:after="60"/>
      </w:pPr>
      <w:r>
        <w:rPr>
          <w:sz w:val="20"/>
        </w:rPr>
        <w:t>Подготовка акционерного соглашения на условиях раздела 9.</w:t>
      </w:r>
    </w:p>
    <w:p>
      <w:pPr>
        <w:pStyle w:val="ListBullet"/>
        <w:spacing w:after="60"/>
      </w:pPr>
      <w:r>
        <w:rPr>
          <w:sz w:val="20"/>
        </w:rPr>
        <w:t>Подтверждающие заключения местных юристов по Великобритании, Болгарии и Чехии.</w:t>
      </w:r>
    </w:p>
    <w:p>
      <w:r>
        <w:br w:type="page"/>
      </w:r>
    </w:p>
    <w:p>
      <w:pPr>
        <w:pBdr>
          <w:bottom w:val="single" w:sz="6" w:space="2" w:color="142647"/>
        </w:pBdr>
      </w:pPr>
      <w:r>
        <w:rPr>
          <w:b/>
          <w:color w:val="142647"/>
          <w:sz w:val="30"/>
        </w:rPr>
        <w:t>1. Рекомендуемая структура и ключевые преимущества</w:t>
      </w:r>
    </w:p>
    <w:p>
      <w:pPr>
        <w:spacing w:after="100"/>
      </w:pPr>
      <w:r>
        <w:rPr>
          <w:sz w:val="21"/>
        </w:rPr>
        <w:t>Структура состоит из трёх уровней. Инвесторы владеют единой холдинговой компанией; та напрямую владеет двумя болгарскими компаниями — одна организует производство, другая ведёт продажи. Холдинг держит права на разработку самолёта и распределяет прибыль инвесторам. Проект проходит два этапа: на первом сборку выполняет независимый завод по заказу группы, на втором группа может перейти к собственному производству.</w:t>
      </w:r>
    </w:p>
    <w:p>
      <w:pPr>
        <w:spacing w:before="160" w:after="40"/>
      </w:pPr>
      <w:r>
        <w:rPr>
          <w:b/>
          <w:color w:val="142647"/>
          <w:sz w:val="22"/>
        </w:rPr>
        <w:t>Юрисдикции структуры и ставки налога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6048000" cy="1143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s_jur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1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F5F5F"/>
          <w:sz w:val="16"/>
        </w:rPr>
        <w:t>Все страны структуры — члены НАТО, а Болгария, Чехия и Польша также входят в ЕС. Прибыль накапливается в Болгарии с самой низкой в Евросоюзе ставкой 10%; британский холдинг не платит налог при получении и распределении прибыли.</w:t>
      </w:r>
    </w:p>
    <w:p>
      <w:pPr>
        <w:spacing w:before="160" w:after="40"/>
      </w:pPr>
      <w:r>
        <w:rPr>
          <w:b/>
          <w:color w:val="142647"/>
          <w:sz w:val="22"/>
        </w:rPr>
        <w:t>Этап 1 — производство по заказу (базовая структура)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6048000" cy="239989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s_stage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399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F5F5F"/>
          <w:sz w:val="16"/>
        </w:rPr>
        <w:t>Завод Aero Vodochody в группу не входит: он собирает самолёт по заказу за плату, права на самолёт остаются у группы. Компоненты, включая авионику IAI (Израиль), поставляют внешние партнёры.</w:t>
      </w:r>
    </w:p>
    <w:p>
      <w:pPr>
        <w:spacing w:before="160" w:after="40"/>
      </w:pPr>
      <w:r>
        <w:rPr>
          <w:b/>
          <w:color w:val="142647"/>
          <w:sz w:val="22"/>
        </w:rPr>
        <w:t>Этап 2 — собственное производство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6048000" cy="175196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s_stage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75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F5F5F"/>
          <w:sz w:val="16"/>
        </w:rPr>
        <w:t>По мере роста группа строит собственный завод, и производственная компания входит в группу. Холдинг по-прежнему владеет обеими компаниями напрямую.</w:t>
      </w:r>
    </w:p>
    <w:p>
      <w:pPr>
        <w:spacing w:before="160" w:after="40"/>
      </w:pPr>
      <w:r>
        <w:rPr>
          <w:b/>
          <w:color w:val="142647"/>
          <w:sz w:val="22"/>
        </w:rPr>
        <w:t>Ключевые преимущества</w:t>
      </w:r>
    </w:p>
    <w:p>
      <w:pPr>
        <w:pStyle w:val="ListBullet"/>
        <w:spacing w:after="60"/>
      </w:pPr>
      <w:r>
        <w:rPr>
          <w:sz w:val="20"/>
        </w:rPr>
        <w:t>Низкая нагрузка на прибыль. Операционная прибыль облагается в Болгарии по ставке 10% — самой низкой в Европейском союзе.</w:t>
      </w:r>
    </w:p>
    <w:p>
      <w:pPr>
        <w:pStyle w:val="ListBullet"/>
        <w:spacing w:after="60"/>
      </w:pPr>
      <w:r>
        <w:rPr>
          <w:sz w:val="20"/>
        </w:rPr>
        <w:t>Прибыль доходит наверх без потерь. Передача прибыли из Болгарии в британский холдинг не облагается налогом у источника по налоговому соглашению (при доле не менее 10%, удерживаемой не менее года).</w:t>
      </w:r>
    </w:p>
    <w:p>
      <w:pPr>
        <w:pStyle w:val="ListBullet"/>
        <w:spacing w:after="60"/>
      </w:pPr>
      <w:r>
        <w:rPr>
          <w:sz w:val="20"/>
        </w:rPr>
        <w:t>Эффективное распределение. Холдинг выплачивает прибыль инвесторам без удержания налога (подробнее — раздел 5.3).</w:t>
      </w:r>
    </w:p>
    <w:p>
      <w:pPr>
        <w:pStyle w:val="ListBullet"/>
        <w:spacing w:after="60"/>
      </w:pPr>
      <w:r>
        <w:rPr>
          <w:sz w:val="20"/>
        </w:rPr>
        <w:t>Надёжная юрисдикция холдинга. Великобритания — признанный центр для международных инвесторов с английским правом; защита прав оформляется акционерным соглашением (раздел 9).</w:t>
      </w:r>
    </w:p>
    <w:p>
      <w:pPr>
        <w:pStyle w:val="ListBullet"/>
        <w:spacing w:after="60"/>
      </w:pPr>
      <w:r>
        <w:rPr>
          <w:sz w:val="20"/>
        </w:rPr>
        <w:t>Соответствие военно-экспортным требованиям. Болгария и Чехия — члены НАТО и ЕС с полноценными режимами лицензирования.</w:t>
      </w:r>
    </w:p>
    <w:p>
      <w:pPr>
        <w:pStyle w:val="ListBullet"/>
        <w:spacing w:after="60"/>
      </w:pPr>
      <w:r>
        <w:rPr>
          <w:sz w:val="20"/>
        </w:rPr>
        <w:t>Защита инвестиций. Британский холдинг пользуется действующим договором о защите инвестиций с Болгарией: гарантии от экспроприации и доступ к международному арбитражу против государства (подробнее — раздел 2.5).</w:t>
      </w:r>
    </w:p>
    <w:p>
      <w:pPr>
        <w:pStyle w:val="ListBullet"/>
        <w:spacing w:after="60"/>
      </w:pPr>
      <w:r>
        <w:rPr>
          <w:sz w:val="20"/>
        </w:rPr>
        <w:t>Гибкость и удобный выход. Переход к собственному производству не требует перестройки; продажа долей на уровне структуры освобождена от налога.</w:t>
      </w:r>
    </w:p>
    <w:p>
      <w:r>
        <w:br w:type="page"/>
      </w:r>
    </w:p>
    <w:p>
      <w:pPr>
        <w:pBdr>
          <w:bottom w:val="single" w:sz="6" w:space="2" w:color="142647"/>
        </w:pBdr>
      </w:pPr>
      <w:r>
        <w:rPr>
          <w:b/>
          <w:color w:val="142647"/>
          <w:sz w:val="30"/>
        </w:rPr>
        <w:t>2. Холдинговая компания</w:t>
      </w:r>
    </w:p>
    <w:p>
      <w:pPr>
        <w:spacing w:after="100"/>
      </w:pPr>
      <w:r>
        <w:rPr>
          <w:sz w:val="21"/>
        </w:rPr>
        <w:t>Холдинговая компания принадлежит инвесторам напрямую, владеет проектом, получает прибыль от операционной компании и распределяет её в виде дивидендов. Сделки по выходу из проекта проходят на её уровне.</w:t>
      </w:r>
    </w:p>
    <w:p>
      <w:pPr>
        <w:spacing w:before="160" w:after="40"/>
      </w:pPr>
      <w:r>
        <w:rPr>
          <w:b/>
          <w:color w:val="142647"/>
          <w:sz w:val="22"/>
        </w:rPr>
        <w:t>2.1 Сравнение юрисдикций по ключевым критериям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fill="142647"/>
          </w:tcPr>
          <w:p>
            <w:r>
              <w:rPr>
                <w:b/>
                <w:color w:val="FFFFFF"/>
                <w:sz w:val="17"/>
              </w:rPr>
              <w:t>Критерий</w:t>
            </w:r>
          </w:p>
        </w:tc>
        <w:tc>
          <w:tcPr>
            <w:tcW w:type="dxa" w:w="1949"/>
            <w:shd w:val="clear" w:fill="142647"/>
          </w:tcPr>
          <w:p>
            <w:r>
              <w:rPr>
                <w:b/>
                <w:color w:val="FFFFFF"/>
                <w:sz w:val="17"/>
              </w:rPr>
              <w:t>Великобритания</w:t>
            </w:r>
          </w:p>
        </w:tc>
        <w:tc>
          <w:tcPr>
            <w:tcW w:type="dxa" w:w="1949"/>
            <w:shd w:val="clear" w:fill="142647"/>
          </w:tcPr>
          <w:p>
            <w:r>
              <w:rPr>
                <w:b/>
                <w:color w:val="FFFFFF"/>
                <w:sz w:val="17"/>
              </w:rPr>
              <w:t>Люксембург</w:t>
            </w:r>
          </w:p>
        </w:tc>
        <w:tc>
          <w:tcPr>
            <w:tcW w:type="dxa" w:w="1949"/>
            <w:shd w:val="clear" w:fill="142647"/>
          </w:tcPr>
          <w:p>
            <w:r>
              <w:rPr>
                <w:b/>
                <w:color w:val="FFFFFF"/>
                <w:sz w:val="17"/>
              </w:rPr>
              <w:t>Ирландия</w:t>
            </w:r>
          </w:p>
        </w:tc>
        <w:tc>
          <w:tcPr>
            <w:tcW w:type="dxa" w:w="1949"/>
            <w:shd w:val="clear" w:fill="142647"/>
          </w:tcPr>
          <w:p>
            <w:r>
              <w:rPr>
                <w:b/>
                <w:color w:val="FFFFFF"/>
                <w:sz w:val="17"/>
              </w:rPr>
              <w:t>Нидерланды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Прибыль от операционной компании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без потерь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без потерь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без потерь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без потерь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Налог при выплате инвесторам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ноль для всех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ноль / минимум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ноль / по договору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ноль / минимум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Освобождение при выходе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при условиях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наиболее широкое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да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да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Качество суда и права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английское право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высокое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английское право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высокое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Репутация для инвесторов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высокая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высшая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высокая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высокая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Членство в ЕС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нет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да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да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да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142647"/>
          <w:sz w:val="22"/>
        </w:rPr>
        <w:t>2.2 Итоговая налоговая нагрузка</w:t>
      </w:r>
    </w:p>
    <w:p>
      <w:pPr>
        <w:spacing w:after="100"/>
      </w:pPr>
      <w:r>
        <w:rPr>
          <w:sz w:val="21"/>
        </w:rPr>
        <w:t>Во всех четырёх юрисдикциях прибыль поступает из Болгарии в холдинг без налога у источника, а выплата инвесторам сводится к нулю при доле не менее 10% и соблюдении условий. Поэтому итоговая нагрузка практически одинакова, и выбор определяется не ставками, а надёжностью освобождения, режимом выхода, стоимостью содержания и репутацией.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142647"/>
          </w:tcPr>
          <w:p>
            <w:r>
              <w:rPr>
                <w:b/>
                <w:color w:val="FFFFFF"/>
                <w:sz w:val="17"/>
              </w:rPr>
              <w:t>Юрисдикция</w:t>
            </w:r>
          </w:p>
        </w:tc>
        <w:tc>
          <w:tcPr>
            <w:tcW w:type="dxa" w:w="3249"/>
            <w:shd w:val="clear" w:fill="142647"/>
          </w:tcPr>
          <w:p>
            <w:r>
              <w:rPr>
                <w:b/>
                <w:color w:val="FFFFFF"/>
                <w:sz w:val="17"/>
              </w:rPr>
              <w:t>Налог при выплате инвестору</w:t>
            </w:r>
          </w:p>
        </w:tc>
        <w:tc>
          <w:tcPr>
            <w:tcW w:type="dxa" w:w="3249"/>
            <w:shd w:val="clear" w:fill="142647"/>
          </w:tcPr>
          <w:p>
            <w:r>
              <w:rPr>
                <w:b/>
                <w:color w:val="FFFFFF"/>
                <w:sz w:val="17"/>
              </w:rPr>
              <w:t>Комментарий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Великобритания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ноль для всех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Налог у источника на дивиденды не взимается в принципе; из Болгарии — ноль по налоговому соглашению; содержание дешевле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Люксембург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ноль / минимум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Ноль для держателей с долей не менее 10%, облагаемых налогом не менее 8% в своей стране; наиболее широкий режим выхода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Ирландия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ноль / по договору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Общее право; освобождение при выполнении условий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Нидерланды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ноль / минимум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Автоматическое освобождение; содержание дороже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sz w:val="21"/>
        </w:rPr>
        <w:t>Важное различие между Великобританией и Люксембургом. В Люксембурге нулевой налог при выплате инвестору возможен только если получатель — компания, облагаемая налогом не менее 8% в своей стране. Корпоративный инвестор из ОАЭ (где ставка налога на прибыль составляет 9%) этому условию удовлетворяет. Инвестор, владеющий через структуру с нулевым налогом или как физическое лицо, условие не проходит, и применяется ставка по договору. Великобритания не удерживает налог на дивиденды ни при каком составе собственников — поэтому она и рекомендована.</w:t>
      </w:r>
    </w:p>
    <w:p>
      <w:pPr>
        <w:spacing w:before="160" w:after="40"/>
      </w:pPr>
      <w:r>
        <w:rPr>
          <w:b/>
          <w:color w:val="142647"/>
          <w:sz w:val="22"/>
        </w:rPr>
        <w:t>2.3 Рекомендация: холдинг в Великобритании</w:t>
      </w:r>
    </w:p>
    <w:p>
      <w:pPr>
        <w:spacing w:after="100"/>
      </w:pPr>
      <w:r>
        <w:rPr>
          <w:sz w:val="21"/>
        </w:rPr>
        <w:t>Мы рекомендуем Великобританию. Состав инвесторов пока окончательно не определён, а британский холдинг устойчив к любому составу: налог у источника на дивиденды здесь не взимается в принципе, без проверки налогового статуса получателя. Прибыль из Болгарии поступает без удержания по налоговому соглашению; полученные холдингом дивиденды освобождены от налога; а при продаже долей действует освобождение от налога на прирост стоимости участия в торговой компании. К этому добавляются английское право, привычное международным инвесторам и оборонным партнёрам, и более низкая стоимость содержания.</w:t>
      </w:r>
    </w:p>
    <w:p>
      <w:pPr>
        <w:spacing w:after="100"/>
      </w:pPr>
      <w:r>
        <w:rPr>
          <w:sz w:val="21"/>
        </w:rPr>
        <w:t>Люксембург остаётся равноценной альтернативой, если инвесторы — преимущественно компании Евросоюза, нормально облагаемые налогом, и важны членство в ЕС, автоматическое освобождение прибыли и репутация для фондов. Выбор страны холдинга при этом не снимает проверку иностранных инвестиций: она оценивает конечного собственника независимо от того, где зарегистрирован холдинг (раздел 7.5). Великобритания даёт и дополнительный слой защиты инвестиций — через действующий инвестиционный договор с Болгарией (раздел 2.5).</w:t>
      </w:r>
    </w:p>
    <w:p>
      <w:pPr>
        <w:spacing w:before="160" w:after="40"/>
      </w:pPr>
      <w:r>
        <w:rPr>
          <w:b/>
          <w:color w:val="142647"/>
          <w:sz w:val="22"/>
        </w:rPr>
        <w:t>2.4 Почему исключена Швейцария</w:t>
      </w:r>
    </w:p>
    <w:p>
      <w:pPr>
        <w:spacing w:after="100"/>
      </w:pPr>
      <w:r>
        <w:rPr>
          <w:sz w:val="21"/>
        </w:rPr>
        <w:t>Швейцария привлекательна по налогам и репутации, но для оборонного проекта с экспортной составляющей не подходит. Законы о военных материалах и о нейтралитете жёстко ограничивают участие швейцарских компаний в поставках военной продукции и её реэкспорте, что создаёт риск блокировки поставок и финансирования.</w:t>
      </w:r>
    </w:p>
    <w:p>
      <w:pPr>
        <w:spacing w:before="160" w:after="40"/>
      </w:pPr>
      <w:r>
        <w:rPr>
          <w:b/>
          <w:color w:val="142647"/>
          <w:sz w:val="22"/>
        </w:rPr>
        <w:t>2.5 Защита инвестиций: национальное право и инвестиционные договоры</w:t>
      </w:r>
    </w:p>
    <w:p>
      <w:pPr>
        <w:spacing w:after="100"/>
      </w:pPr>
      <w:r>
        <w:rPr>
          <w:sz w:val="21"/>
        </w:rPr>
        <w:t>Вложения инвесторов защищены на двух уровнях: правом страны холдинга и международными договорами о защите инвестиций между страной холдинга и государствами, где находятся активы проекта.</w:t>
      </w:r>
    </w:p>
    <w:p>
      <w:pPr>
        <w:spacing w:after="100"/>
      </w:pPr>
      <w:r>
        <w:rPr>
          <w:sz w:val="21"/>
        </w:rPr>
        <w:t>Национальное право. Великобритания обеспечивает верховенство права, независимые суды, защиту собственности (статья 1 Протокола № 1 к Европейской конвенции по правам человека) и свободное перемещение средств без валютных ограничений. Люксембург как член ЕС гарантирует защиту собственности (статья 17 Хартии основных прав ЕС) и свободу движения капитала (статья 63 Договора о функционировании ЕС).</w:t>
      </w:r>
    </w:p>
    <w:p>
      <w:pPr>
        <w:spacing w:after="100"/>
      </w:pPr>
      <w:r>
        <w:rPr>
          <w:sz w:val="21"/>
        </w:rPr>
        <w:t>Инвестиционные договоры — ключевое различие. У Великобритании есть действующий договор о взаимной защите инвестиций с Болгарией (подписан в 1995 году, в силе с 1997 года) и с Чехией (1990 год). Такой договор защищает саму инвестицию британского холдинга в болгарские компании: гарантирует возмещение при экспроприации (только в общественных целях, без дискриминации и при быстрой, адекватной и эффективной компенсации), справедливый и равный режим, свободный перевод доходов и — что особенно важно — доступ к международному инвестиционному арбитражу напрямую против государства. Люксембургский холдинг такой защиты в отношении этих стран лишён: договоры о защите инвестиций между государствами ЕС прекращены соглашением 2020 года (после решения Суда ЕС по делу Achmea), поэтому остаётся лишь защита по праву ЕС и национальному праву.</w:t>
      </w:r>
    </w:p>
    <w:p>
      <w:pPr>
        <w:spacing w:after="100"/>
      </w:pPr>
      <w:r>
        <w:rPr>
          <w:sz w:val="21"/>
        </w:rPr>
        <w:t>Что следует учесть: Европейская комиссия добивается прекращения британских договоров с Болгарией и Чехией (в декабре 2024 года передала дело в Суд ЕС), поэтому их долгосрочную доступность необходимо подтвердить. Договор Великобритания — Польша прекращён в 2018 году — для возможного завода второго этапа в Польше договорной защиты нет. И Великобритания, и Люксембург участвуют в Вашингтонской конвенции (ICSID) и Нью-Йоркской конвенции 1958 года, поэтому арбитражные решения подлежат исполнению более чем в 170 странах.</w:t>
      </w:r>
    </w:p>
    <w:p>
      <w:pPr>
        <w:spacing w:after="100"/>
      </w:pPr>
      <w:r>
        <w:rPr>
          <w:sz w:val="21"/>
        </w:rPr>
        <w:t>Таким образом, для защиты вложений в болгарские операционную и продающую компании британский холдинг даёт дополнительный, договорный слой защиты, которого люксембургский маршрут не обеспечивает, — ещё один довод в пользу Великобритании. Важно различать: акционерное соглашение (раздел 9) защищает инвесторов в отношениях между собой, а инвестиционный договор защищает саму инвестицию в отношениях с государством.</w:t>
      </w:r>
    </w:p>
    <w:p>
      <w:r>
        <w:br w:type="page"/>
      </w:r>
    </w:p>
    <w:p>
      <w:pPr>
        <w:pBdr>
          <w:bottom w:val="single" w:sz="6" w:space="2" w:color="142647"/>
        </w:pBdr>
      </w:pPr>
      <w:r>
        <w:rPr>
          <w:b/>
          <w:color w:val="142647"/>
          <w:sz w:val="30"/>
        </w:rPr>
        <w:t>3. Производственная компания</w:t>
      </w:r>
    </w:p>
    <w:p>
      <w:pPr>
        <w:spacing w:after="100"/>
      </w:pPr>
      <w:r>
        <w:rPr>
          <w:sz w:val="21"/>
        </w:rPr>
        <w:t>Производство проходит два этапа: сначала сборку ведёт действующий завод по заказу группы, затем группа может перейти к собственной сборке.</w:t>
      </w:r>
    </w:p>
    <w:p>
      <w:pPr>
        <w:spacing w:before="160" w:after="40"/>
      </w:pPr>
      <w:r>
        <w:rPr>
          <w:b/>
          <w:color w:val="142647"/>
          <w:sz w:val="22"/>
        </w:rPr>
        <w:t>3.1 Первый этап — производство по заказу</w:t>
      </w:r>
    </w:p>
    <w:p>
      <w:pPr>
        <w:spacing w:after="100"/>
      </w:pPr>
      <w:r>
        <w:rPr>
          <w:sz w:val="21"/>
        </w:rPr>
        <w:t>Сборку выполняет Aero Vodochody (Чехия) — независимый завод с опытом производства самолётов этого класса. Группа заказывает сборку и сама закупает документацию, авионику (IAI, Израиль) и двигатели. Это избавляет от необходимости строить собственный завод, экономит капитальные вложения и время и опирается на готовый опыт и сертификацию.</w:t>
      </w:r>
    </w:p>
    <w:p>
      <w:pPr>
        <w:spacing w:after="100"/>
      </w:pPr>
      <w:r>
        <w:rPr>
          <w:sz w:val="21"/>
        </w:rPr>
        <w:t>Условие сохранения болгарской ставки 10%: чтобы прибыль облагалась в Болгарии, а не в Чехии, болгарская компания не должна создавать в Чехии налогооблагаемого присутствия (постоянного представительства). Сборка силами независимого подрядчика на рыночных условиях сама по себе такого присутствия не создаёт. Риск возникает, только если группа разместит в Чехии собственный персонал, склад или производственную площадку.</w:t>
      </w:r>
    </w:p>
    <w:p>
      <w:pPr>
        <w:spacing w:before="160" w:after="40"/>
      </w:pPr>
      <w:r>
        <w:rPr>
          <w:b/>
          <w:color w:val="142647"/>
          <w:sz w:val="22"/>
        </w:rPr>
        <w:t>3.2 Второй этап — собственное производство</w:t>
      </w:r>
    </w:p>
    <w:p>
      <w:pPr>
        <w:spacing w:after="100"/>
      </w:pPr>
      <w:r>
        <w:rPr>
          <w:sz w:val="21"/>
        </w:rPr>
        <w:t>По мере роста группа может организовать собственную сборку: это требует вложений и времени, но даёт полный контроль над производством. Наиболее перспективна Польша — развитая авиационная промышленность, квалифицированные кадры, государственные льготы для крупных инвестиций, членство в НАТО и ЕС.</w:t>
      </w:r>
    </w:p>
    <w:p>
      <w:pPr>
        <w:spacing w:before="160" w:after="40"/>
      </w:pPr>
      <w:r>
        <w:rPr>
          <w:b/>
          <w:color w:val="142647"/>
          <w:sz w:val="22"/>
        </w:rPr>
        <w:t>3.3 Сравнение юрисдикций производства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fill="142647"/>
          </w:tcPr>
          <w:p>
            <w:r>
              <w:rPr>
                <w:b/>
                <w:color w:val="FFFFFF"/>
                <w:sz w:val="17"/>
              </w:rPr>
              <w:t>Страна</w:t>
            </w:r>
          </w:p>
        </w:tc>
        <w:tc>
          <w:tcPr>
            <w:tcW w:type="dxa" w:w="1949"/>
            <w:shd w:val="clear" w:fill="142647"/>
          </w:tcPr>
          <w:p>
            <w:r>
              <w:rPr>
                <w:b/>
                <w:color w:val="FFFFFF"/>
                <w:sz w:val="17"/>
              </w:rPr>
              <w:t>Налог на прибыль</w:t>
            </w:r>
          </w:p>
        </w:tc>
        <w:tc>
          <w:tcPr>
            <w:tcW w:type="dxa" w:w="1949"/>
            <w:shd w:val="clear" w:fill="142647"/>
          </w:tcPr>
          <w:p>
            <w:r>
              <w:rPr>
                <w:b/>
                <w:color w:val="FFFFFF"/>
                <w:sz w:val="17"/>
              </w:rPr>
              <w:t>Стоимость труда, €/ч</w:t>
            </w:r>
          </w:p>
        </w:tc>
        <w:tc>
          <w:tcPr>
            <w:tcW w:type="dxa" w:w="1949"/>
            <w:shd w:val="clear" w:fill="142647"/>
          </w:tcPr>
          <w:p>
            <w:r>
              <w:rPr>
                <w:b/>
                <w:color w:val="FFFFFF"/>
                <w:sz w:val="17"/>
              </w:rPr>
              <w:t>Авиапром</w:t>
            </w:r>
          </w:p>
        </w:tc>
        <w:tc>
          <w:tcPr>
            <w:tcW w:type="dxa" w:w="1949"/>
            <w:shd w:val="clear" w:fill="142647"/>
          </w:tcPr>
          <w:p>
            <w:r>
              <w:rPr>
                <w:b/>
                <w:color w:val="FFFFFF"/>
                <w:sz w:val="17"/>
              </w:rPr>
              <w:t>Комментарий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Болгария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10%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10,6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базовый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Самый низкий налог и самая дешёвая рабочая сила в ЕС; член НАТО и ЕС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Румыния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16%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12,5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средний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Низкие издержки, есть авиапредприятия; член НАТО и ЕС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Польша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19%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около 16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сильный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Развитый авиапром, льготы, поддержка проекта; член НАТО и ЕС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Словакия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10–24%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около 16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базовый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Ставка 24% — только при выручке свыше 5 млн €; иначе 21% или 10%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Чехия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21%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около 18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сильный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Лидер в классе; место сборки на первом этапе; член НАТО и ЕС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sz w:val="21"/>
        </w:rPr>
        <w:t>Для первого этапа операционную компанию рекомендуется разместить в Болгарии: сборку обеспечивает чешский подрядчик, а прибыль выгоднее накапливать в юрисдикции с самой низкой ставкой. Для второго этапа предпочтительна Польша.</w:t>
      </w:r>
    </w:p>
    <w:p>
      <w:r>
        <w:br w:type="page"/>
      </w:r>
    </w:p>
    <w:p>
      <w:pPr>
        <w:pBdr>
          <w:bottom w:val="single" w:sz="6" w:space="2" w:color="142647"/>
        </w:pBdr>
      </w:pPr>
      <w:r>
        <w:rPr>
          <w:b/>
          <w:color w:val="142647"/>
          <w:sz w:val="30"/>
        </w:rPr>
        <w:t>4. Продающая компания</w:t>
      </w:r>
    </w:p>
    <w:p>
      <w:pPr>
        <w:spacing w:after="100"/>
      </w:pPr>
      <w:r>
        <w:rPr>
          <w:sz w:val="21"/>
        </w:rPr>
        <w:t>Продажа боевых самолётов требует военно-экспортной лицензии страны продавца и механизма подтверждения конечного пользователя. Продающая компания должна находиться в стране — члене НАТО и ЕС с действующим режимом военно-экспортного контроля; офшорные юрисдикции для этой роли не подходят.</w:t>
      </w:r>
    </w:p>
    <w:p>
      <w:pPr>
        <w:spacing w:before="160" w:after="40"/>
      </w:pPr>
      <w:r>
        <w:rPr>
          <w:b/>
          <w:color w:val="142647"/>
          <w:sz w:val="22"/>
        </w:rPr>
        <w:t>4.1 Сравнение юрисдикций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142647"/>
          </w:tcPr>
          <w:p>
            <w:r>
              <w:rPr>
                <w:b/>
                <w:color w:val="FFFFFF"/>
                <w:sz w:val="17"/>
              </w:rPr>
              <w:t>Страна</w:t>
            </w:r>
          </w:p>
        </w:tc>
        <w:tc>
          <w:tcPr>
            <w:tcW w:type="dxa" w:w="2436"/>
            <w:shd w:val="clear" w:fill="142647"/>
          </w:tcPr>
          <w:p>
            <w:r>
              <w:rPr>
                <w:b/>
                <w:color w:val="FFFFFF"/>
                <w:sz w:val="17"/>
              </w:rPr>
              <w:t>Налог на прибыль</w:t>
            </w:r>
          </w:p>
        </w:tc>
        <w:tc>
          <w:tcPr>
            <w:tcW w:type="dxa" w:w="2436"/>
            <w:shd w:val="clear" w:fill="142647"/>
          </w:tcPr>
          <w:p>
            <w:r>
              <w:rPr>
                <w:b/>
                <w:color w:val="FFFFFF"/>
                <w:sz w:val="17"/>
              </w:rPr>
              <w:t>Военно-экспортный режим</w:t>
            </w:r>
          </w:p>
        </w:tc>
        <w:tc>
          <w:tcPr>
            <w:tcW w:type="dxa" w:w="2436"/>
            <w:shd w:val="clear" w:fill="142647"/>
          </w:tcPr>
          <w:p>
            <w:r>
              <w:rPr>
                <w:b/>
                <w:color w:val="FFFFFF"/>
                <w:sz w:val="17"/>
              </w:rPr>
              <w:t>Передача прибыли в холдинг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Болгария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10%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развитый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ноль (обе страны в ЕС)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Чехия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21%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крупный экспортёр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ноль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Польша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19%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сильный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ноль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Румыния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16%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средний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ноль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Словакия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21–24%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средний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ноль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sz w:val="21"/>
        </w:rPr>
        <w:t>Продающую компанию рекомендуется разместить в Болгарии — там же, где операционную: самая низкая ставка, полноценный военно-экспортный режим члена НАТО и ЕС, передача прибыли в холдинг без потерь. Закупочную и продающую функции целесообразно разделить на две болгарские компании: одна владеет проектом и ведёт закупки, другая держит экспортную лицензию и продаёт самолёты. На налоговую нагрузку это не влияет, но делает структуру чище для лицензирования и распределяет ответственность.</w:t>
      </w:r>
    </w:p>
    <w:p>
      <w:pPr>
        <w:spacing w:after="100"/>
      </w:pPr>
      <w:r>
        <w:rPr>
          <w:sz w:val="21"/>
        </w:rPr>
        <w:t>Где оформляется экспортная лицензия: размещение лицензии в болгарской компании не решает вопрос автоматически. Поскольку на первом этапе самолёт собирается и отгружается из Чехии, могут применяться чешские экспортные правила и требоваться согласие чешских властей. Какая именно лицензия нужна для поставки в третью страну, разобрано в разделе 7.6.</w:t>
      </w:r>
    </w:p>
    <w:p>
      <w:r>
        <w:br w:type="page"/>
      </w:r>
    </w:p>
    <w:p>
      <w:pPr>
        <w:pBdr>
          <w:bottom w:val="single" w:sz="6" w:space="2" w:color="142647"/>
        </w:pBdr>
      </w:pPr>
      <w:r>
        <w:rPr>
          <w:b/>
          <w:color w:val="142647"/>
          <w:sz w:val="30"/>
        </w:rPr>
        <w:t>5. Движение прибыли и налоговая нагрузка</w:t>
      </w:r>
    </w:p>
    <w:p>
      <w:pPr>
        <w:spacing w:after="100"/>
      </w:pPr>
      <w:r>
        <w:rPr>
          <w:sz w:val="21"/>
        </w:rPr>
        <w:t>В рекомендованной структуре операционная и продающая компании находятся в Болгарии, холдинг — в Великобритании, сборка на первом этапе — на заводе Aero Vodochody в Чехии. Ниже показано, как облагается прибыль на каждом шаге пути к инвестору.</w:t>
      </w:r>
    </w:p>
    <w:p>
      <w:pPr>
        <w:spacing w:before="160" w:after="40"/>
      </w:pPr>
      <w:r>
        <w:rPr>
          <w:b/>
          <w:color w:val="142647"/>
          <w:sz w:val="22"/>
        </w:rPr>
        <w:t>5.1 Почему Болгария для операционной и продающей компаний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142647"/>
          </w:tcPr>
          <w:p>
            <w:r>
              <w:rPr>
                <w:b/>
                <w:color w:val="FFFFFF"/>
                <w:sz w:val="17"/>
              </w:rPr>
              <w:t>Юрисдикция</w:t>
            </w:r>
          </w:p>
        </w:tc>
        <w:tc>
          <w:tcPr>
            <w:tcW w:type="dxa" w:w="3249"/>
            <w:shd w:val="clear" w:fill="142647"/>
          </w:tcPr>
          <w:p>
            <w:r>
              <w:rPr>
                <w:b/>
                <w:color w:val="FFFFFF"/>
                <w:sz w:val="17"/>
              </w:rPr>
              <w:t>Ставка</w:t>
            </w:r>
          </w:p>
        </w:tc>
        <w:tc>
          <w:tcPr>
            <w:tcW w:type="dxa" w:w="3249"/>
            <w:shd w:val="clear" w:fill="142647"/>
          </w:tcPr>
          <w:p>
            <w:r>
              <w:rPr>
                <w:b/>
                <w:color w:val="FFFFFF"/>
                <w:sz w:val="17"/>
              </w:rPr>
              <w:t>Оценка для нашей структуры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Венгрия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9%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Формально ниже, но не даёт преимущества: поверх 9% взимается местный налог с оборота (до 2%), из-за чего фактическая нагрузка приближается к болгарской или превышает её. Распространённое мнение о препятствиях со стороны правил о контролируемых иностранных компаниях ошибочно. Болгарская плоская ставка проще и устойчивее.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Болгария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10%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Плоская ставка без сложных условий; военно-экспортный режим; передача прибыли в холдинг ЕС без налога у источника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Ирландия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12,5%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Ставка 12,5% применяется только к торговому доходу; пассивный доход облагается по 25%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Кипр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15%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Ставка повышена с 12,5% до 15% с 2026 года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sz w:val="21"/>
        </w:rPr>
        <w:t>Болгария с плоской ставкой 10%, членством в ЕС и полноценным военно-экспортным режимом — наиболее устойчивый выбор. Та же юрисдикция используется для продающей компании.</w:t>
      </w:r>
    </w:p>
    <w:p>
      <w:pPr>
        <w:spacing w:before="160" w:after="40"/>
      </w:pPr>
      <w:r>
        <w:rPr>
          <w:b/>
          <w:color w:val="142647"/>
          <w:sz w:val="22"/>
        </w:rPr>
        <w:t>5.2 Международный минимальный налог</w:t>
      </w:r>
    </w:p>
    <w:p>
      <w:pPr>
        <w:spacing w:after="100"/>
      </w:pPr>
      <w:r>
        <w:rPr>
          <w:sz w:val="21"/>
        </w:rPr>
        <w:t>Базовая ставка операционной прибыли — 10%. Правила международного минимального налога (известные как Pillar Two — глобальное соглашение, по которому крупные международные группы платят не менее 15%) применяются к группе с годовой консолидированной выручкой от 750 млн € как минимум в двух из четырёх предыдущих лет. Для проекта это отдалённый сценарий. Доплата может возникнуть раньше лишь в одном случае — если кто-то из инвесторов входит в крупную международную группу, которая включает проект в свою консолидированную отчётность.</w:t>
      </w:r>
    </w:p>
    <w:p>
      <w:pPr>
        <w:spacing w:before="160" w:after="40"/>
      </w:pPr>
      <w:r>
        <w:rPr>
          <w:b/>
          <w:color w:val="142647"/>
          <w:sz w:val="22"/>
        </w:rPr>
        <w:t>5.3 Налоговая нагрузка по шагам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142647"/>
          </w:tcPr>
          <w:p>
            <w:r>
              <w:rPr>
                <w:b/>
                <w:color w:val="FFFFFF"/>
                <w:sz w:val="17"/>
              </w:rPr>
              <w:t>Шаг движения прибыли</w:t>
            </w:r>
          </w:p>
        </w:tc>
        <w:tc>
          <w:tcPr>
            <w:tcW w:type="dxa" w:w="3249"/>
            <w:shd w:val="clear" w:fill="142647"/>
          </w:tcPr>
          <w:p>
            <w:r>
              <w:rPr>
                <w:b/>
                <w:color w:val="FFFFFF"/>
                <w:sz w:val="17"/>
              </w:rPr>
              <w:t>Налог</w:t>
            </w:r>
          </w:p>
        </w:tc>
        <w:tc>
          <w:tcPr>
            <w:tcW w:type="dxa" w:w="3249"/>
            <w:shd w:val="clear" w:fill="142647"/>
          </w:tcPr>
          <w:p>
            <w:r>
              <w:rPr>
                <w:b/>
                <w:color w:val="FFFFFF"/>
                <w:sz w:val="17"/>
              </w:rPr>
              <w:t>Комментарий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Налог на прибыль операционной компании (Болгария)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10%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Самый низкий в ЕС; при достижении порога выручки возможна корректировка (раздел 5.2)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Передача прибыли из Болгарии в холдинг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ноль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По налоговому соглашению с Великобританией (доля не менее 10%, не менее года)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Выплата дивидендов инвесторам из холдинга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ноль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Великобритания не удерживает налог на дивиденды ни при каком составе собственников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Продажа долей инвесторами (выход)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ноль*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*На уровне структуры. Налог в стране проживания инвестора рассматривается отдельно (раздел 8)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142647"/>
          <w:sz w:val="22"/>
        </w:rPr>
        <w:t>5.4 Иллюстрация: путь 1 млн € прибыли</w:t>
      </w:r>
    </w:p>
    <w:p>
      <w:pPr>
        <w:spacing w:after="100"/>
      </w:pPr>
      <w:r>
        <w:rPr>
          <w:sz w:val="21"/>
        </w:rPr>
        <w:t>На схеме показано, как условный миллион евро операционной прибыли проходит через структуру к инвестору. Сумма иллюстративная и не является прогнозом прибыли проекта.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6048000" cy="70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s_flo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7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sz w:val="21"/>
        </w:rPr>
        <w:t>Совокупная налоговая нагрузка составляет 10% и формируется только болгарским налогом на прибыль. Налог, который инвестор заплатит в стране своего проживания, в иллюстрации не учтён.</w:t>
      </w:r>
    </w:p>
    <w:p>
      <w:pPr>
        <w:spacing w:after="100"/>
      </w:pPr>
      <w:r>
        <w:rPr>
          <w:sz w:val="21"/>
        </w:rPr>
        <w:t>Для сравнения — сколько дошло бы до инвестора из того же миллиона при менее эффективных конфигурациях: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6048000" cy="181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s_ba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81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</w:pPr>
      <w:r>
        <w:rPr>
          <w:b/>
          <w:color w:val="142647"/>
          <w:sz w:val="22"/>
        </w:rPr>
        <w:t>5.5 Правовая основа</w:t>
      </w:r>
    </w:p>
    <w:p>
      <w:pPr>
        <w:spacing w:after="100"/>
      </w:pPr>
      <w:r>
        <w:rPr>
          <w:sz w:val="21"/>
        </w:rPr>
        <w:t>Выводы опираются на конкретные нормы: освобождение дивидендов между компаниями ЕС — Директива Совета 2011/96/ЕС; нулевой налог при передаче прибыли из Болгарии в Великобританию — статья 10 налогового соглашения 2015 года; освобождение полученных дивидендов в Великобритании — часть 9A Закона о корпоративном налоге 2009 года, а освобождение прироста при продаже долей — приложение 7AC к Закону о налоге на прирост капитала 1992 года; освобождение доходов от участия в Люксембурге — статьи 147 и 166 Закона о подоходном налоге; международный минимальный налог — Директива Совета ЕС 2022/2523. Полный перечень источников приведён в приложении.</w:t>
      </w:r>
    </w:p>
    <w:p>
      <w:r>
        <w:br w:type="page"/>
      </w:r>
    </w:p>
    <w:p>
      <w:pPr>
        <w:pBdr>
          <w:bottom w:val="single" w:sz="6" w:space="2" w:color="142647"/>
        </w:pBdr>
      </w:pPr>
      <w:r>
        <w:rPr>
          <w:b/>
          <w:color w:val="142647"/>
          <w:sz w:val="30"/>
        </w:rPr>
        <w:t>6. Две модели владения правами на разработку</w:t>
      </w:r>
    </w:p>
    <w:p>
      <w:pPr>
        <w:spacing w:after="100"/>
      </w:pPr>
      <w:r>
        <w:rPr>
          <w:sz w:val="21"/>
        </w:rPr>
        <w:t>Под правами на разработку здесь понимаются конструкторская документация, права на самолёт и патенты. От того, у какой компании они находятся, зависит, где облагается прибыль и насколько защищён ключевой актив. Основной мы считаем первую модель; вторая — возможность для дополнительной налоговой оптимизации, которая раскрывается лишь после прояснения ряда условий и требует глубокой проработки.</w:t>
      </w:r>
    </w:p>
    <w:p>
      <w:pPr>
        <w:spacing w:before="160" w:after="40"/>
      </w:pPr>
      <w:r>
        <w:rPr>
          <w:b/>
          <w:color w:val="142647"/>
          <w:sz w:val="22"/>
        </w:rPr>
        <w:t>6.1 Модель 1 — права у операционной компании (рекомендуется)</w:t>
      </w:r>
    </w:p>
    <w:p>
      <w:pPr>
        <w:spacing w:after="100"/>
      </w:pPr>
      <w:r>
        <w:rPr>
          <w:sz w:val="21"/>
        </w:rPr>
        <w:t>Права на разработку принадлежат болгарской операционной компании — производителю. Холдинг владеет только долями и финансирует проект. Прибыль от продажи самолётов облагается в Болгарии по 10%, поднимается в холдинг дивидендами без удержания и распределяется инвесторам. Лицензионные платежи между компаниями не возникают.</w:t>
      </w:r>
    </w:p>
    <w:p>
      <w:pPr>
        <w:pStyle w:val="ListBullet"/>
        <w:spacing w:after="60"/>
      </w:pPr>
      <w:r>
        <w:rPr>
          <w:sz w:val="20"/>
        </w:rPr>
        <w:t>Простота: нет лицензий, роялти и сложного учёта, а значит меньше поводов для спора с налоговыми органами.</w:t>
      </w:r>
    </w:p>
    <w:p>
      <w:pPr>
        <w:pStyle w:val="ListBullet"/>
        <w:spacing w:after="60"/>
      </w:pPr>
      <w:r>
        <w:rPr>
          <w:sz w:val="20"/>
        </w:rPr>
        <w:t>Согласованность: права и производство находятся в одной компании, что отвечает международным правилам налогообложения.</w:t>
      </w:r>
    </w:p>
    <w:p>
      <w:pPr>
        <w:pStyle w:val="ListBullet"/>
        <w:spacing w:after="60"/>
      </w:pPr>
      <w:r>
        <w:rPr>
          <w:sz w:val="20"/>
        </w:rPr>
        <w:t>Надёжность: модель работает независимо от того, удастся ли запатентовать разработку и войдут ли подрядчики в капитал.</w:t>
      </w:r>
    </w:p>
    <w:p>
      <w:pPr>
        <w:pStyle w:val="ListBullet"/>
        <w:spacing w:after="60"/>
      </w:pPr>
      <w:r>
        <w:rPr>
          <w:sz w:val="20"/>
        </w:rPr>
        <w:t>Недостаток: права находятся в действующей компании и несут её операционные риски.</w:t>
      </w:r>
    </w:p>
    <w:p>
      <w:pPr>
        <w:spacing w:before="160" w:after="40"/>
      </w:pPr>
      <w:r>
        <w:rPr>
          <w:b/>
          <w:color w:val="142647"/>
          <w:sz w:val="22"/>
        </w:rPr>
        <w:t>6.2 Модель 2 — права у холдинга (потенциальная оптимизация)</w:t>
      </w:r>
    </w:p>
    <w:p>
      <w:pPr>
        <w:spacing w:after="100"/>
      </w:pPr>
      <w:r>
        <w:rPr>
          <w:sz w:val="21"/>
        </w:rPr>
        <w:t>Холдинг владеет правами на разработку, финансирует и заказывает её у подрядчиков, затем передаёт права операционной компании по лицензии и получает роялти. Если в стране холдинга действует льготный режим для доходов от интеллектуальной собственности (так называемый IP-box), роялти могут облагаться по пониженной эффективной ставке: Люксембург — около 5,2% (только патенты и защищённое программное обеспечение, но не товарные знаки и ноу-хау); Нидерланды — около 9%; Великобритания и Ирландия — 10%. Роялти из Болгарии в холдинг ЕС освобождены от налога у источника при доле не менее 25% в течение двух лет.</w:t>
      </w:r>
    </w:p>
    <w:p>
      <w:pPr>
        <w:spacing w:after="100"/>
      </w:pPr>
      <w:r>
        <w:rPr>
          <w:sz w:val="21"/>
        </w:rPr>
        <w:t>Применимость второй модели зависит от условий, которые на сегодня не определены:</w:t>
      </w:r>
    </w:p>
    <w:p>
      <w:pPr>
        <w:pStyle w:val="ListBullet"/>
        <w:spacing w:after="60"/>
      </w:pPr>
      <w:r>
        <w:rPr>
          <w:sz w:val="20"/>
        </w:rPr>
        <w:t>Характер прав. Льгота распространяется на патенты и защищённое программное обеспечение, но не на ноу-хау, документацию и товарные знаки. Требуется заключение патентных поверенных о патентоспособности ключевых решений самолёта.</w:t>
      </w:r>
    </w:p>
    <w:p>
      <w:pPr>
        <w:pStyle w:val="ListBullet"/>
        <w:spacing w:after="60"/>
      </w:pPr>
      <w:r>
        <w:rPr>
          <w:sz w:val="20"/>
        </w:rPr>
        <w:t>Независимость подрядчиков. Размер льготы пропорционален расходам на разработку, выполненную независимыми сторонами. Если ключевые партнёры входят в капитал и вносят собственные разработки, льгота резко сокращается.</w:t>
      </w:r>
    </w:p>
    <w:p>
      <w:pPr>
        <w:pStyle w:val="ListBullet"/>
        <w:spacing w:after="60"/>
      </w:pPr>
      <w:r>
        <w:rPr>
          <w:sz w:val="20"/>
        </w:rPr>
        <w:t>Реальная роль холдинга. Холдинг должен сам финансировать разработку и управлять ею, а не приобретать готовые права.</w:t>
      </w:r>
    </w:p>
    <w:p>
      <w:pPr>
        <w:spacing w:after="100"/>
      </w:pPr>
      <w:r>
        <w:rPr>
          <w:sz w:val="21"/>
        </w:rPr>
        <w:t>Вывод: если ключевые партнёры войдут в проект со своими разработками — а для авиапроектов это типично, — вторая модель льготы не даёт, и работоспособна только первая. Поэтому вторую модель стоит рассматривать как возможность для последующей оптимизации, а не как основу структуры на текущем этапе.</w:t>
      </w:r>
    </w:p>
    <w:p>
      <w:r>
        <w:br w:type="page"/>
      </w:r>
    </w:p>
    <w:p>
      <w:pPr>
        <w:pBdr>
          <w:bottom w:val="single" w:sz="6" w:space="2" w:color="142647"/>
        </w:pBdr>
      </w:pPr>
      <w:r>
        <w:rPr>
          <w:b/>
          <w:color w:val="142647"/>
          <w:sz w:val="30"/>
        </w:rPr>
        <w:t>7. Риски и условия, от которых зависит результат</w:t>
      </w:r>
    </w:p>
    <w:p>
      <w:pPr>
        <w:spacing w:after="100"/>
      </w:pPr>
      <w:r>
        <w:rPr>
          <w:sz w:val="21"/>
        </w:rPr>
        <w:t>Налоговая структура — лишь часть картины. Перечисленные факторы определяют, будет ли получена прибыль и сохранятся ли налоговые преимущества, и проект следует оценивать с их учётом.</w:t>
      </w:r>
    </w:p>
    <w:p>
      <w:pPr>
        <w:spacing w:before="160" w:after="40"/>
      </w:pPr>
      <w:r>
        <w:rPr>
          <w:b/>
          <w:color w:val="142647"/>
          <w:sz w:val="22"/>
        </w:rPr>
        <w:t>7.1 Деловая цель структуры</w:t>
      </w:r>
    </w:p>
    <w:p>
      <w:pPr>
        <w:spacing w:after="100"/>
      </w:pPr>
      <w:r>
        <w:rPr>
          <w:sz w:val="21"/>
        </w:rPr>
        <w:t>Налоговые льготы сохраняются только при наличии у структуры реальной деловой цели, а не одной лишь налоговой экономии. Налоговые органы вправе отказать в льготах, если единственной целью построения структуры было их получение. У каждого элемента структуры есть самостоятельное обоснование:</w:t>
      </w:r>
    </w:p>
    <w:p>
      <w:pPr>
        <w:pStyle w:val="ListBullet"/>
        <w:spacing w:after="60"/>
      </w:pPr>
      <w:r>
        <w:rPr>
          <w:sz w:val="20"/>
        </w:rPr>
        <w:t>Холдинг объединяет инвесторов из разных стран в единую точку владения, обеспечивает управление, финансирование и выход.</w:t>
      </w:r>
    </w:p>
    <w:p>
      <w:pPr>
        <w:pStyle w:val="ListBullet"/>
        <w:spacing w:after="60"/>
      </w:pPr>
      <w:r>
        <w:rPr>
          <w:sz w:val="20"/>
        </w:rPr>
        <w:t>Операционная компания в Болгарии несёт реальные функции: заказ производства, закупки, владение проектом и правами на разработку.</w:t>
      </w:r>
    </w:p>
    <w:p>
      <w:pPr>
        <w:pStyle w:val="ListBullet"/>
        <w:spacing w:after="60"/>
      </w:pPr>
      <w:r>
        <w:rPr>
          <w:sz w:val="20"/>
        </w:rPr>
        <w:t>Продающая компания в Болгарии существует ради военно-экспортной функции: держит лицензию, ведёт государственные контракты и послепродажное обслуживание. Разделение продаж и производства — отраслевая норма (например, Aero Vodochody и Omnipol).</w:t>
      </w:r>
    </w:p>
    <w:p>
      <w:pPr>
        <w:pStyle w:val="ListBullet"/>
        <w:spacing w:after="60"/>
      </w:pPr>
      <w:r>
        <w:rPr>
          <w:sz w:val="20"/>
        </w:rPr>
        <w:t>Сборка в Чехии на первом этапе — использование сертифицированного завода вместо строительства собственного.</w:t>
      </w:r>
    </w:p>
    <w:p>
      <w:pPr>
        <w:pStyle w:val="ListBullet"/>
        <w:spacing w:after="60"/>
      </w:pPr>
      <w:r>
        <w:rPr>
          <w:sz w:val="20"/>
        </w:rPr>
        <w:t>Выбор Болгарии обусловлен не только ставкой, но и членством в ЕС, военно-экспортным режимом и предсказуемостью регулирования.</w:t>
      </w:r>
    </w:p>
    <w:p>
      <w:pPr>
        <w:spacing w:before="160" w:after="40"/>
      </w:pPr>
      <w:r>
        <w:rPr>
          <w:b/>
          <w:color w:val="142647"/>
          <w:sz w:val="22"/>
        </w:rPr>
        <w:t>7.2 Реальное присутствие</w:t>
      </w:r>
    </w:p>
    <w:p>
      <w:pPr>
        <w:spacing w:after="100"/>
      </w:pPr>
      <w:r>
        <w:rPr>
          <w:sz w:val="21"/>
        </w:rPr>
        <w:t>Нулевые и пониженные ставки действуют только при реальном присутствии компаний: собственном управлении, персонале, офисе и принятии решений по месту регистрации. Это требует расходов на содержание, которые следует заложить в бюджет. Для оборонного проекта структура будет под повышенным вниманием банков и регуляторов.</w:t>
      </w:r>
    </w:p>
    <w:p>
      <w:pPr>
        <w:spacing w:before="160" w:after="40"/>
      </w:pPr>
      <w:r>
        <w:rPr>
          <w:b/>
          <w:color w:val="142647"/>
          <w:sz w:val="22"/>
        </w:rPr>
        <w:t>7.3 Экономика продукта</w:t>
      </w:r>
    </w:p>
    <w:p>
      <w:pPr>
        <w:spacing w:after="100"/>
      </w:pPr>
      <w:r>
        <w:rPr>
          <w:sz w:val="21"/>
        </w:rPr>
        <w:t>Меморандум не оценивает коммерческие показатели проекта — цену, себестоимость, маржу, объёмы. Налоговые выводы применимы при любом уровне прибыли, но фактическая доходность зависит от коммерческих допущений, которые в настоящий документ не входят.</w:t>
      </w:r>
    </w:p>
    <w:p>
      <w:pPr>
        <w:spacing w:before="160" w:after="40"/>
      </w:pPr>
      <w:r>
        <w:rPr>
          <w:b/>
          <w:color w:val="142647"/>
          <w:sz w:val="22"/>
        </w:rPr>
        <w:t>7.4 Экспортный контроль</w:t>
      </w:r>
    </w:p>
    <w:p>
      <w:pPr>
        <w:spacing w:after="100"/>
      </w:pPr>
      <w:r>
        <w:rPr>
          <w:sz w:val="21"/>
        </w:rPr>
        <w:t>Экспорт боевых самолётов зависит от государственных лицензий, которые выдаются по усмотрению властей и могут быть ограничены или отозваны; круг покупателей ограничен. Отдельного внимания требует авионика IAI: она подпадает под израильский экспортный контроль, поэтому при её установке и последующем реэкспорте необходимы разрешения и сертификат конечного пользователя.</w:t>
      </w:r>
    </w:p>
    <w:p>
      <w:pPr>
        <w:spacing w:before="160" w:after="40"/>
      </w:pPr>
      <w:r>
        <w:rPr>
          <w:b/>
          <w:color w:val="142647"/>
          <w:sz w:val="22"/>
        </w:rPr>
        <w:t>7.5 Допуск иностранных собственников к оборонному активу</w:t>
      </w:r>
    </w:p>
    <w:p>
      <w:pPr>
        <w:spacing w:after="100"/>
      </w:pPr>
      <w:r>
        <w:rPr>
          <w:sz w:val="21"/>
        </w:rPr>
        <w:t>Это, возможно, главный фактор реализуемости. Прежде всего важно зафиксировать: прямого запрета на участие иностранных, в том числе ближневосточных, инвесторов в оборонных авиационных проектах НАТО и ЕС не существует. Практика это подтверждает — суверенный фонд Абу-Даби Mubadala несколько лет полностью владел итальянским производителем авиатехники военного и двойного назначения Piaggio Aerospace; государственная оборонная группа ОАЭ EDGE инвестирует в Польше, Эстонии и Швейцарии; а сам завод Aero Vodochody находится в частном владении. Вопрос, таким образом, не в запрете, а в условиях допуска.</w:t>
      </w:r>
    </w:p>
    <w:p>
      <w:pPr>
        <w:spacing w:after="100"/>
      </w:pPr>
      <w:r>
        <w:rPr>
          <w:sz w:val="21"/>
        </w:rPr>
        <w:t>Эти условия задаёт проверка иностранных инвестиций на предмет национальной безопасности (в Евросоюзе — на основании Регламента (ЕС) 2019/452). Её следует отличать от экспортного лицензирования (раздел 7.6): первая оценивает, кто владеет компанией, второе — можно ли вывезти продукцию. В нашей структуре проверка владения затрагивает прежде всего Болгарию.</w:t>
      </w:r>
    </w:p>
    <w:p>
      <w:pPr>
        <w:pStyle w:val="ListBullet"/>
        <w:spacing w:after="60"/>
      </w:pPr>
      <w:r>
        <w:rPr>
          <w:sz w:val="20"/>
        </w:rPr>
        <w:t>Болгария — основная страна проверки. Режим введён поправками в Закон о поощрении инвестиций (в силе с 12 марта 2024 года; правила применения действуют с 22 июля 2025 года). Проверка применяется при приобретении доли от 10% или инвестиции свыше 2 млн €. Если в капитале инвестора значимо участвует государственный орган страны вне ЕС (это типично для суверенных фондов Залива), проверка обязательна независимо от суммы. Межведомственный совет выносит решение в срок до 45 рабочих дней.</w:t>
      </w:r>
    </w:p>
    <w:p>
      <w:pPr>
        <w:pStyle w:val="ListBullet"/>
        <w:spacing w:after="60"/>
      </w:pPr>
      <w:r>
        <w:rPr>
          <w:sz w:val="20"/>
        </w:rPr>
        <w:t>Чехия — проверка владения, как правило, не возникает: по Закону № 34/2021 она применяется к приобретению контроля над чешской компанией оборонного профиля, а завод Aero Vodochody группа не покупает, лишь размещает заказ.</w:t>
      </w:r>
    </w:p>
    <w:p>
      <w:pPr>
        <w:pStyle w:val="ListBullet"/>
        <w:spacing w:after="60"/>
      </w:pPr>
      <w:r>
        <w:rPr>
          <w:sz w:val="20"/>
        </w:rPr>
        <w:t>Польша — значима только если собственный завод второго этапа разместить в Польше; в базовой структуре её нет.</w:t>
      </w:r>
    </w:p>
    <w:p>
      <w:pPr>
        <w:spacing w:after="100"/>
      </w:pPr>
      <w:r>
        <w:rPr>
          <w:sz w:val="21"/>
        </w:rPr>
        <w:t>Держатель лицензии, контролируемый инвесторами вне НАТО и ЕС, проходит проверку с наибольшей вероятностью ограничений. Снизить риск позволяет отделение экономического участия от контроля — приём, давно отработанный в оборонной практике (в США это режим FOCI: от соглашения о контроле за безопасностью до доверительного управления голосами силами лиц с допуском). Применительно к проекту это означает следующее:</w:t>
      </w:r>
    </w:p>
    <w:p>
      <w:pPr>
        <w:pStyle w:val="ListBullet"/>
        <w:spacing w:after="60"/>
      </w:pPr>
      <w:r>
        <w:rPr>
          <w:sz w:val="20"/>
        </w:rPr>
        <w:t>Инвесторы вне НАТО получают экономическое участие — долю в прибыли и приросте стоимости, — но не контроль; для этого вводятся акции с ограниченным правом голоса.</w:t>
      </w:r>
    </w:p>
    <w:p>
      <w:pPr>
        <w:pStyle w:val="ListBullet"/>
        <w:spacing w:after="60"/>
      </w:pPr>
      <w:r>
        <w:rPr>
          <w:sz w:val="20"/>
        </w:rPr>
        <w:t>Контроль над компанией-лицензиатом закрепляется за лицами из стран НАТО и ЕС: через специальный класс акций, право вето, директоров с допуском к гостайне или соглашение о безопасности.</w:t>
      </w:r>
    </w:p>
    <w:p>
      <w:pPr>
        <w:pStyle w:val="ListBullet"/>
        <w:spacing w:after="60"/>
      </w:pPr>
      <w:r>
        <w:rPr>
          <w:sz w:val="20"/>
        </w:rPr>
        <w:t>Предварительную консультацию с болгарским регулятором проводят до подписания, а закрытие сделки ставят в зависимость от получения разрешения.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6048000" cy="160243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s_contro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6024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F5F5F"/>
          <w:sz w:val="16"/>
        </w:rPr>
        <w:t>Разделение экономического участия и контроля: прибыль получают все инвесторы, а управление компанией-лицензиатом остаётся за лицами из стран НАТО и ЕС.</w:t>
      </w:r>
    </w:p>
    <w:p>
      <w:pPr>
        <w:spacing w:before="160" w:after="40"/>
      </w:pPr>
      <w:r>
        <w:rPr>
          <w:b/>
          <w:color w:val="142647"/>
          <w:sz w:val="22"/>
        </w:rPr>
        <w:t>7.6 В какой стране оформляется экспортная лицензия</w:t>
      </w:r>
    </w:p>
    <w:p>
      <w:pPr>
        <w:spacing w:after="100"/>
      </w:pPr>
      <w:r>
        <w:rPr>
          <w:sz w:val="21"/>
        </w:rPr>
        <w:t>Размещение лицензии в болгарской продающей компании не решает вопрос автоматически. По правилам Европейского союза о передаче оборонной продукции внутри ЕС (Директива 2009/43/ЕС, статья 10) перемещение товара между странами союза не отменяет права государства контролировать его вывоз за пределы ЕС: при последующем экспорте получатель обязан соблюсти экспортные ограничения страны происхождения и при необходимости получить её согласие. Поскольку на первом этапе самолёт собирается и отгружается из Чехии, чешские правила и согласие применяются и при продаже через Болгарию. Конкретный порядок лицензирования следует согласовать с чешским и болгарским регуляторами до заключения контрактов.</w:t>
      </w:r>
    </w:p>
    <w:p>
      <w:pPr>
        <w:spacing w:before="160" w:after="40"/>
      </w:pPr>
      <w:r>
        <w:rPr>
          <w:b/>
          <w:color w:val="142647"/>
          <w:sz w:val="22"/>
        </w:rPr>
        <w:t>7.7 Коммерческие допущения</w:t>
      </w:r>
    </w:p>
    <w:p>
      <w:pPr>
        <w:spacing w:after="100"/>
      </w:pPr>
      <w:r>
        <w:rPr>
          <w:sz w:val="21"/>
        </w:rPr>
        <w:t>Структура первого этапа предполагает согласие завода Aero Vodochody на сборку по заказу группы и исполнение обязательств ключевыми поставщиками. Эти договорённости должны быть закреплены договорами; до этого они остаются допущениями.</w:t>
      </w:r>
    </w:p>
    <w:p>
      <w:r>
        <w:br w:type="page"/>
      </w:r>
    </w:p>
    <w:p>
      <w:pPr>
        <w:pBdr>
          <w:bottom w:val="single" w:sz="6" w:space="2" w:color="142647"/>
        </w:pBdr>
      </w:pPr>
      <w:r>
        <w:rPr>
          <w:b/>
          <w:color w:val="142647"/>
          <w:sz w:val="30"/>
        </w:rPr>
        <w:t>8. Границы меморандума</w:t>
      </w:r>
    </w:p>
    <w:p>
      <w:pPr>
        <w:spacing w:after="100"/>
      </w:pPr>
      <w:r>
        <w:rPr>
          <w:sz w:val="21"/>
        </w:rPr>
        <w:t>Меморандум посвящён международной налоговой и корпоративной структуре проекта: выбору юрисдикций, движению прибыли и налогообложению инвесторов. Эти выводы проверены по действующему законодательству. Ряд вопросов остаётся за рамками документа и требует отдельной проработки.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142647"/>
          </w:tcPr>
          <w:p>
            <w:r>
              <w:rPr>
                <w:b/>
                <w:color w:val="FFFFFF"/>
                <w:sz w:val="17"/>
              </w:rPr>
              <w:t>Что охватывает меморандум</w:t>
            </w:r>
          </w:p>
        </w:tc>
        <w:tc>
          <w:tcPr>
            <w:tcW w:type="dxa" w:w="4873"/>
            <w:shd w:val="clear" w:fill="142647"/>
          </w:tcPr>
          <w:p>
            <w:r>
              <w:rPr>
                <w:b/>
                <w:color w:val="FFFFFF"/>
                <w:sz w:val="17"/>
              </w:rPr>
              <w:t>Что требует отдельной проработки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Выбор юрисдикций для холдинга, операционной и продающей компаний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Финансовая модель: доходность, денежные потоки, вложения, окупаемость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Движение прибыли и налог у источника на уровне структуры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Налог инвестора в стране его проживания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Налогообложение инвесторов при распределении прибыли и выходе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Защита прав инвесторов: акционерное соглашение, права меньшинства, выход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Принципиальная допустимость структуры поставок (с учётом раздела 7.6)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Допуск иностранных собственников к оборонному активу (раздел 7.5)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Корпоративный налог, дивиденды, роялти, прирост капитала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Прочие налоги (НДС, удержания по услугам), стоимость присутствия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Коммерческая и техническая состоятельность продукта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sz w:val="21"/>
        </w:rPr>
        <w:t>Конкретная ставка налога для инвестора зависит от размера его доли (нулевое удержание предполагает долю не менее 10% через компанию) и его собственного налогового статуса. Инвесторам с долей менее 10% или с владением через низконалоговые юрисдикции потребуется индивидуальный анализ.</w:t>
      </w:r>
    </w:p>
    <w:p>
      <w:r>
        <w:rPr>
          <w:i/>
          <w:color w:val="5F5F5F"/>
          <w:sz w:val="17"/>
        </w:rPr>
        <w:t>Настоящий меморандум подготовлен организаторами проекта для предварительного обсуждения с инвесторами и не является окончательной налоговой или юридической консультацией. Ставки и правовые выводы приведены по состоянию на 2026 год и проверены по действующему национальному законодательству и международным налоговым соглашениям. Отдельные параметры подлежат подтверждению местными консультантами при внедрении структуры.</w:t>
      </w:r>
    </w:p>
    <w:p>
      <w:r>
        <w:br w:type="page"/>
      </w:r>
    </w:p>
    <w:p>
      <w:pPr>
        <w:pBdr>
          <w:bottom w:val="single" w:sz="6" w:space="2" w:color="142647"/>
        </w:pBdr>
      </w:pPr>
      <w:r>
        <w:rPr>
          <w:b/>
          <w:color w:val="142647"/>
          <w:sz w:val="30"/>
        </w:rPr>
        <w:t>9. Акционерное соглашение: ключевые условия</w:t>
      </w:r>
    </w:p>
    <w:p>
      <w:pPr>
        <w:spacing w:after="100"/>
      </w:pPr>
      <w:r>
        <w:rPr>
          <w:sz w:val="21"/>
        </w:rPr>
        <w:t>Раздел задаёт каркас отношений между инвесторами и инициаторами проекта на уровне холдинга. Это перечень ключевых условий для последующей детальной проработки юристами; он не заменяет полный текст акционерного соглашения.</w:t>
      </w:r>
    </w:p>
    <w:p>
      <w:pPr>
        <w:spacing w:before="160" w:after="40"/>
      </w:pPr>
      <w:r>
        <w:rPr>
          <w:b/>
          <w:color w:val="142647"/>
          <w:sz w:val="22"/>
        </w:rPr>
        <w:t>9.1 Стороны и капитал</w:t>
      </w:r>
    </w:p>
    <w:p>
      <w:pPr>
        <w:pStyle w:val="ListBullet"/>
        <w:spacing w:after="60"/>
      </w:pPr>
      <w:r>
        <w:rPr>
          <w:sz w:val="20"/>
        </w:rPr>
        <w:t>Стороны — инвесторы и инициаторы проекта (учредители) как акционеры британского холдинга.</w:t>
      </w:r>
    </w:p>
    <w:p>
      <w:pPr>
        <w:pStyle w:val="ListBullet"/>
        <w:spacing w:after="60"/>
      </w:pPr>
      <w:r>
        <w:rPr>
          <w:sz w:val="20"/>
        </w:rPr>
        <w:t>При необходимости вводятся разные классы акций — чтобы отделить экономическое участие от права контроля.</w:t>
      </w:r>
    </w:p>
    <w:p>
      <w:pPr>
        <w:pStyle w:val="ListBullet"/>
        <w:spacing w:after="60"/>
      </w:pPr>
      <w:r>
        <w:rPr>
          <w:sz w:val="20"/>
        </w:rPr>
        <w:t>Средства вносятся траншами по мере достижения этапов проекта.</w:t>
      </w:r>
    </w:p>
    <w:p>
      <w:pPr>
        <w:spacing w:before="160" w:after="40"/>
      </w:pPr>
      <w:r>
        <w:rPr>
          <w:b/>
          <w:color w:val="142647"/>
          <w:sz w:val="22"/>
        </w:rPr>
        <w:t>9.2 Управление</w:t>
      </w:r>
    </w:p>
    <w:p>
      <w:pPr>
        <w:pStyle w:val="ListBullet"/>
        <w:spacing w:after="60"/>
      </w:pPr>
      <w:r>
        <w:rPr>
          <w:sz w:val="20"/>
        </w:rPr>
        <w:t>Совет директоров включает представителей инвесторов и инициаторов и хотя бы одного независимого директора; для оборонных и экспортных решений — директора из стран НАТО и ЕС с допуском к гостайне.</w:t>
      </w:r>
    </w:p>
    <w:p>
      <w:pPr>
        <w:pStyle w:val="ListBullet"/>
        <w:spacing w:after="60"/>
      </w:pPr>
      <w:r>
        <w:rPr>
          <w:sz w:val="20"/>
        </w:rPr>
        <w:t>Решения по наиболее важным вопросам принимаются квалифицированным большинством или с правом вето: бюджет и крупные вложения, привлечение займов, выпуск новых акций, сделки со связанными сторонами, передача прав на разработку, смена контроля, выбор экспортных рынков, слияния и поглощения, ликвидация.</w:t>
      </w:r>
    </w:p>
    <w:p>
      <w:pPr>
        <w:pStyle w:val="ListBullet"/>
        <w:spacing w:after="60"/>
      </w:pPr>
      <w:r>
        <w:rPr>
          <w:sz w:val="20"/>
        </w:rPr>
        <w:t>За операционную реализацию отвечают инициаторы; предусматриваются условия об удержании ключевых лиц и о постепенном закреплении их долей.</w:t>
      </w:r>
    </w:p>
    <w:p>
      <w:pPr>
        <w:spacing w:before="160" w:after="40"/>
      </w:pPr>
      <w:r>
        <w:rPr>
          <w:b/>
          <w:color w:val="142647"/>
          <w:sz w:val="22"/>
        </w:rPr>
        <w:t>9.3 Защита миноритарных инвесторов и переход долей</w:t>
      </w:r>
    </w:p>
    <w:p>
      <w:pPr>
        <w:pStyle w:val="ListBullet"/>
        <w:spacing w:after="60"/>
      </w:pPr>
      <w:r>
        <w:rPr>
          <w:sz w:val="20"/>
        </w:rPr>
        <w:t>Право на информацию, защита от размывания доли и право присоединиться к продаже на тех же условиях, что у мажоритария.</w:t>
      </w:r>
    </w:p>
    <w:p>
      <w:pPr>
        <w:pStyle w:val="ListBullet"/>
        <w:spacing w:after="60"/>
      </w:pPr>
      <w:r>
        <w:rPr>
          <w:sz w:val="20"/>
        </w:rPr>
        <w:t>Ограничения на отчуждение: запрет продажи в течение оговорённого срока, право других акционеров на первоочередной выкуп.</w:t>
      </w:r>
    </w:p>
    <w:p>
      <w:pPr>
        <w:pStyle w:val="ListBullet"/>
        <w:spacing w:after="60"/>
      </w:pPr>
      <w:r>
        <w:rPr>
          <w:sz w:val="20"/>
        </w:rPr>
        <w:t>Любая передача доли возможна только при условии прохождения проверки иностранных инвестиций и сохранения допуска к лицензии.</w:t>
      </w:r>
    </w:p>
    <w:p>
      <w:pPr>
        <w:spacing w:before="160" w:after="40"/>
      </w:pPr>
      <w:r>
        <w:rPr>
          <w:b/>
          <w:color w:val="142647"/>
          <w:sz w:val="22"/>
        </w:rPr>
        <w:t>9.4 Выход и разрешение тупиковых ситуаций</w:t>
      </w:r>
    </w:p>
    <w:p>
      <w:pPr>
        <w:pStyle w:val="ListBullet"/>
        <w:spacing w:after="60"/>
      </w:pPr>
      <w:r>
        <w:rPr>
          <w:sz w:val="20"/>
        </w:rPr>
        <w:t>Выход — через публичное размещение или продажу стратегическому инвестору; при квалифицированном большинстве миноритарии обязаны присоединиться к продаже.</w:t>
      </w:r>
    </w:p>
    <w:p>
      <w:pPr>
        <w:pStyle w:val="ListBullet"/>
        <w:spacing w:after="60"/>
      </w:pPr>
      <w:r>
        <w:rPr>
          <w:sz w:val="20"/>
        </w:rPr>
        <w:t>Тупиковые ситуации разрешаются через эскалацию, посредничество и опционы выкупа долей.</w:t>
      </w:r>
    </w:p>
    <w:p>
      <w:pPr>
        <w:spacing w:before="160" w:after="40"/>
      </w:pPr>
      <w:r>
        <w:rPr>
          <w:b/>
          <w:color w:val="142647"/>
          <w:sz w:val="22"/>
        </w:rPr>
        <w:t>9.5 Применимое право и предварительные условия</w:t>
      </w:r>
    </w:p>
    <w:p>
      <w:pPr>
        <w:pStyle w:val="ListBullet"/>
        <w:spacing w:after="60"/>
      </w:pPr>
      <w:r>
        <w:rPr>
          <w:sz w:val="20"/>
        </w:rPr>
        <w:t>Применимое право — английское; споры разрешаются международным арбитражем.</w:t>
      </w:r>
    </w:p>
    <w:p>
      <w:pPr>
        <w:pStyle w:val="ListBullet"/>
        <w:spacing w:after="60"/>
      </w:pPr>
      <w:r>
        <w:rPr>
          <w:sz w:val="20"/>
        </w:rPr>
        <w:t>Обязательства по соблюдению экспортного контроля и санкционного режима, прозрачность бенефициарного владения.</w:t>
      </w:r>
    </w:p>
    <w:p>
      <w:pPr>
        <w:pStyle w:val="ListBullet"/>
        <w:spacing w:after="60"/>
      </w:pPr>
      <w:r>
        <w:rPr>
          <w:sz w:val="20"/>
        </w:rPr>
        <w:t>Условия закрытия сделки: разрешение болгарского регулятора по иностранным инвестициям, согласованный порядок экспортного лицензирования и заключённые договоры с Aero Vodochody, IAI и поставщиками двигателя.</w:t>
      </w:r>
    </w:p>
    <w:p>
      <w:r>
        <w:br w:type="page"/>
      </w:r>
    </w:p>
    <w:p>
      <w:pPr>
        <w:pBdr>
          <w:bottom w:val="single" w:sz="6" w:space="2" w:color="142647"/>
        </w:pBdr>
      </w:pPr>
      <w:r>
        <w:rPr>
          <w:b/>
          <w:color w:val="142647"/>
          <w:sz w:val="30"/>
        </w:rPr>
        <w:t>Приложение. Правовые источники</w:t>
      </w:r>
    </w:p>
    <w:p>
      <w:pPr>
        <w:spacing w:after="100"/>
      </w:pPr>
      <w:r>
        <w:rPr>
          <w:sz w:val="21"/>
        </w:rPr>
        <w:t>Ниже перечислены первичные правовые акты с указанием конкретных статей, на которых основаны выводы меморандума. Они сверены по официальным текстам; при согласовании структуры подлежат подтверждению местными юристами.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142647"/>
          </w:tcPr>
          <w:p>
            <w:r>
              <w:rPr>
                <w:b/>
                <w:color w:val="FFFFFF"/>
                <w:sz w:val="17"/>
              </w:rPr>
              <w:t>Вопрос</w:t>
            </w:r>
          </w:p>
        </w:tc>
        <w:tc>
          <w:tcPr>
            <w:tcW w:type="dxa" w:w="4873"/>
            <w:shd w:val="clear" w:fill="142647"/>
          </w:tcPr>
          <w:p>
            <w:r>
              <w:rPr>
                <w:b/>
                <w:color w:val="FFFFFF"/>
                <w:sz w:val="17"/>
              </w:rPr>
              <w:t>Источник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Освобождение дивидендов между компаниями ЕС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Директива Совета 2011/96/ЕС от 30.11.2011 (материнские и дочерние компании)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Освобождение роялти между компаниями ЕС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Директива Совета 2003/49/ЕС от 03.06.2003: статья 3 (порог 25%), статья 1(10) (срок до 2 лет — на усмотрение государства)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Международный минимальный налог (15%)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Директива Совета (ЕС) 2022/2523 от 14.12.2022 (порог 750 млн €)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Болгария → Великобритания, дивиденды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Соглашение об избежании двойного налогообложения 2015 года (в Великобритании — SI 2015/1891), статья 10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Великобритания: освобождение полученных дивидендов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Закон о корпоративном налоге 2009 года, часть 9A (§§ 931A–931W)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Великобритания: освобождение при продаже долей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Закон о налоге на прирост капитала 1992 года, приложение 7AC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Люксембург: освобождение доходов от участия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Закон о подоходном налоге (LIR): статья 166 (дивиденды и прирост), статья 147 (освобождение удержания)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Люксембург: льготный режим для прав на разработку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Закон о подоходном налоге (LIR), статья 50ter (освобождение 80%)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Болгария: налог на прибыль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Закон о корпоративном подоходном налоге (ЗКПО), статья 20 — 10%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Проверка иностранных инвестиций в ЕС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Регламент (ЕС) 2019/452 от 19.03.2019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Проверка иностранных инвестиций в Болгарии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Закон о поощрении инвестиций (поправки — Гос. вестник № 20 от 08.03.2024, в силе с 12.03.2024; правила применения — № 59 от 22.07.2025)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Проверка иностранных инвестиций в Чехии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Закон № 34/2021 Coll. о проверке иностранных инвестиций (в силе с 01.05.2021)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Передача оборонной продукции внутри ЕС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Директива 2009/43/ЕС от 06.05.2009, статья 10 (экспортные ограничения)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Защита инвестиций: Великобритания — Болгария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Договор о взаимной защите инвестиций 1995 года (в силе с 1997 года)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Защита инвестиций: Великобритания — Чехия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Договор о взаимной защите инвестиций 1990 года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Прекращение внутри-ЕС инвестдоговоров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Соглашение от 05.05.2020 (следствие решения Суда ЕС по делу Achmea, 2018)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Исполнение арбитражных решений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Вашингтонская конвенция (ICSID) 1965 года; Нью-Йоркская конвенция 1958 года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sz w:val="21"/>
        </w:rPr>
        <w:t>Прецеденты иностранного владения авиапроизводителями оборонного и двойного назначения в НАТО и ЕС (раздел 7.5): Mubadala (ОАЭ) — Piaggio Aerospace (Италия); EDGE (ОАЭ) — инвестиции в Польше, Эстонии и Швейцарии; Aero Vodochody (Чехия) — частное владение.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5F5F"/>
        <w:sz w:val="15"/>
      </w:rPr>
      <w:t>Меморандум о структуре проекта · для инвесторов · Конфиденциально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C1C1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