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NovaMono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26"/>
          <w:szCs w:val="26"/>
          <w:rtl w:val="0"/>
        </w:rPr>
        <w:t xml:space="preserve">МЕМОРАНДУМ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20"/>
          <w:szCs w:val="20"/>
          <w:rtl w:val="0"/>
        </w:rPr>
        <w:t xml:space="preserve">КОНФИДЕНЦИАЛЬНО · Проект F/A-259U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42647"/>
          <w:sz w:val="68"/>
          <w:szCs w:val="68"/>
          <w:rtl w:val="0"/>
        </w:rPr>
        <w:t xml:space="preserve">«STRIKER»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color w:val="142647"/>
          <w:sz w:val="24"/>
          <w:szCs w:val="24"/>
          <w:rtl w:val="0"/>
        </w:rPr>
        <w:t xml:space="preserve">Структурирование п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роизводств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а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и поставк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и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лёгкого многоцелевого боевого и учебно-боевого самолёта</w:t>
      </w:r>
      <w:r w:rsidDel="00000000" w:rsidR="00000000" w:rsidRPr="00000000">
        <w:rPr>
          <w:color w:val="142647"/>
          <w:sz w:val="24"/>
          <w:szCs w:val="24"/>
          <w:rtl w:val="0"/>
        </w:rPr>
        <w:t xml:space="preserve">:</w:t>
      </w:r>
      <w:r w:rsidDel="00000000" w:rsidR="00000000" w:rsidRPr="00000000">
        <w:rPr>
          <w:b w:val="0"/>
          <w:bCs w:val="0"/>
          <w:i w:val="0"/>
          <w:iCs w:val="0"/>
          <w:color w:val="142647"/>
          <w:sz w:val="24"/>
          <w:szCs w:val="24"/>
          <w:rtl w:val="0"/>
        </w:rPr>
        <w:t xml:space="preserve">  проект, экономика и структура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5f5f5f"/>
          <w:sz w:val="18"/>
          <w:szCs w:val="18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Резюме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Проект STRIKER - серийное производство и поставка лёгкого многоцелевого боевого и учебно-боевого самолёта F/A-259U. Самолёт построен на проверенной сертифицированной платформе чешского производителя Aero Vodochody, оснащён новым крылом, современной авионикой и двигателем. Он ориентирован на растущий мировой спрос на доступные боевые и учебно-боевые машины и на оборонное сотрудничество в рамках НАТО и ЕС; производство - на территории ЕС.</w:t>
      </w:r>
    </w:p>
    <w:p w:rsidR="00000000" w:rsidDel="00000000" w:rsidP="00000000" w:rsidRDefault="00000000" w:rsidRPr="00000000" w14:paraId="0000000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Экономика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США, вкладывается поэтапно в течение трёх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48 самолётов в год, всего не менее 300 машин.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Плановая ц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Ч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Совокупная чистая прибыль проекта на серийной фазе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О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риентировочная окупаемость — около восьмого года с начала финансирования.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Структура владения проектом</w:t>
      </w:r>
    </w:p>
    <w:p w:rsidR="00000000" w:rsidDel="00000000" w:rsidP="00000000" w:rsidRDefault="00000000" w:rsidRPr="00000000" w14:paraId="00000016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Сертификат Типа; управление и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(1й этап - на Aero Vodochody, 2й этап - собственная сборка)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Инвесторы владеют проектом через холдинг в Великобритании; Холдинг владеет двумя болгарскими компаниями (производство и продажи). На первом этапе сборку выполняет независимый чешский завод Aero Vodochody.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Налоговый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Прибыль облагается налогом только один раз </w:t>
      </w:r>
      <w:r w:rsidDel="00000000" w:rsidR="00000000" w:rsidRPr="00000000">
        <w:rPr>
          <w:rtl w:val="0"/>
        </w:rPr>
        <w:t xml:space="preserve">на уровне</w:t>
      </w:r>
      <w:r w:rsidDel="00000000" w:rsidR="00000000" w:rsidRPr="00000000">
        <w:rPr>
          <w:sz w:val="21"/>
          <w:szCs w:val="21"/>
          <w:rtl w:val="0"/>
        </w:rPr>
        <w:t xml:space="preserve"> Болгарии по ставке корпоративного налога 10%, одной из самых низких в Европейском союзе. При передаче прибыли вверх в холдинг и далее инвесторам налог у источника не возникает. В результате из каждого миллиона операционной прибыли до инвестор</w:t>
      </w:r>
      <w:r w:rsidDel="00000000" w:rsidR="00000000" w:rsidRPr="00000000">
        <w:rPr>
          <w:rtl w:val="0"/>
        </w:rPr>
        <w:t xml:space="preserve">ов</w:t>
      </w:r>
      <w:r w:rsidDel="00000000" w:rsidR="00000000" w:rsidRPr="00000000">
        <w:rPr>
          <w:sz w:val="21"/>
          <w:szCs w:val="21"/>
          <w:rtl w:val="0"/>
        </w:rPr>
        <w:t xml:space="preserve"> доходит около 900 тысяч</w:t>
      </w:r>
      <w:r w:rsidDel="00000000" w:rsidR="00000000" w:rsidRPr="00000000">
        <w:rPr>
          <w:rtl w:val="0"/>
        </w:rPr>
        <w:t xml:space="preserve"> (9/10 чистой прибыли)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Регуляторные шаги на старте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реализуема: иностранное владение оборонными авиапроизводителями в НАТО и ЕС допускается, что подтверждается прецедентами (раздел 7.5).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lineRule="auto"/>
        <w:jc w:val="both"/>
        <w:rPr>
          <w:sz w:val="20"/>
          <w:szCs w:val="20"/>
        </w:rPr>
      </w:pPr>
      <w:r w:rsidDel="00000000" w:rsidR="00000000" w:rsidRPr="00000000">
        <w:rPr>
          <w:sz w:val="21"/>
          <w:szCs w:val="21"/>
          <w:rtl w:val="0"/>
        </w:rPr>
        <w:t xml:space="preserve">Получение необходимых согласований </w:t>
      </w:r>
      <w:r w:rsidDel="00000000" w:rsidR="00000000" w:rsidRPr="00000000">
        <w:rPr>
          <w:rtl w:val="0"/>
        </w:rPr>
        <w:t xml:space="preserve">для экспорта и производства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является приоритетом</w:t>
      </w:r>
      <w:r w:rsidDel="00000000" w:rsidR="00000000" w:rsidRPr="00000000">
        <w:rPr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Регуляторное с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огласование </w:t>
      </w:r>
      <w:r w:rsidDel="00000000" w:rsidR="00000000" w:rsidRPr="00000000">
        <w:rPr>
          <w:sz w:val="20"/>
          <w:szCs w:val="20"/>
          <w:rtl w:val="0"/>
        </w:rPr>
        <w:t xml:space="preserve">структуры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владения, </w:t>
      </w:r>
      <w:r w:rsidDel="00000000" w:rsidR="00000000" w:rsidRPr="00000000">
        <w:rPr>
          <w:sz w:val="20"/>
          <w:szCs w:val="20"/>
          <w:rtl w:val="0"/>
        </w:rPr>
        <w:t xml:space="preserve">с учетом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реальных участников и инвесторов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Получение военно-экспортной лицензии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Закрепление контроля над компанией-лицензиатом за лицами из стран НАТО и ЕС — стандартная отраслевая практика (разделы 7.5 и 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Проект и экономика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А. Инвестиционная теза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Цель проекта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создать серийное производство современного лёгкого боевого самолёта и вывести его на мировой рынок. Спрос на лёгкие боевые и учебно-боевые машины устойчиво растёт: государства обновляют устаревшие парки и ищут доступную альтернативу тяжёлым истребителям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с близкими боевыми возможностями, но кратно меньшей стоимостью приобретения и эксплуатации.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Доступная многоцелевая платформа: непосредственная авиационная поддержка, воздушный бой, разведка, радиоэлектронная борьба и продвинутая подготовка лётчиков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в одном самолёте.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Умеренные капитальные вложения относительно тяжёлых платформ при высокой совокупной прибыли и приемлемом сроке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Производство и поставки из стран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членов НАТО и ЕС; интеграция в оборонное сотрудничество в рамках этих объединений.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Опора на готовый производственный опыт и проверенных мировых поставщиков.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Б. Продукт: F/A-259U STRIKER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F/A-259U «STRIKER»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лёгкий многоцелевой ударный и учебно-боевой самолёт. Он построен на проверенной сертифицированной платформе чешского производителя Aero Vodochody, оснащён новым крылом, современной авионикой и двигателем. Состав бортового оборудования позволяет выполнять широкий круг боевых задач и одновременно служить платформой для продвинутой подготовки лётчиков.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Боевые возможности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Непосредственная авиационная поддержка (CAS), воздушный бой и противовоздушные операции.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Разведка, наблюдение и целеуказание (ISR); радиоэлектронная борьба.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Продвинутая и переходная подготовка лётчиков (LIFT), совместимая с подготовкой на F-16 и F-35.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особенности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Современный радар с активной фазированной антенной решёткой; авионика открытой архитектуры с передачей данных в реальном времени (Link 16).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Семь точек подвески, интеграция широкого спектра управляемого и неуправляемого вооружения; контейнеры целеуказания.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Высокая живучесть: бронирование кабины, системы предупреждения, катапультное кресло; эксплуатация с неподготовленных полос; дозаправка в воздухе (опционально).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Цифровая кабина, бортовые системы контроля и диагностики; экономичная эксплуатация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Основные характеристики</w:t>
      </w: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1800"/>
        <w:gridCol w:w="2265"/>
        <w:gridCol w:w="3495"/>
        <w:tblGridChange w:id="0">
          <w:tblGrid>
            <w:gridCol w:w="2160"/>
            <w:gridCol w:w="1800"/>
            <w:gridCol w:w="2265"/>
            <w:gridCol w:w="34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3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5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36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Размах крыла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9,54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скорость (у земли)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936 км/ч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Длина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12,72 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Практический потолок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13 200 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Макс. взлётная масса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8 300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Боевые перегрузки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200" w:lineRule="auto"/>
              <w:rPr/>
            </w:pPr>
            <w:sdt>
              <w:sdtPr>
                <w:id w:val="111877312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+8 / −4 g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Полезная нагрузка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3 000 кг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Двигатель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АI-322F с форсажем, FADEC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В. Финансовые показатели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Расчёты выполнены консервативно: заложены максимально возможные издержки и минимальная прибыль; доходы от планового ремонта и обслуживания уже поставленного парка в модель не включены. Приведённые величины отражают оценку </w:t>
      </w:r>
      <w:r w:rsidDel="00000000" w:rsidR="00000000" w:rsidRPr="00000000">
        <w:rPr>
          <w:rtl w:val="0"/>
        </w:rPr>
        <w:t xml:space="preserve">организаторов проекта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420 млн долларов США; инвестиции вкладыва</w:t>
      </w:r>
      <w:r w:rsidDel="00000000" w:rsidR="00000000" w:rsidRPr="00000000">
        <w:rPr>
          <w:sz w:val="20"/>
          <w:szCs w:val="20"/>
          <w:rtl w:val="0"/>
        </w:rPr>
        <w:t xml:space="preserve">ю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тся поэтапно: 1-й год — 150 млн, 2-й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170 млн, 3-й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100 млн.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Цена самолёта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25 млн долларов; себестоимость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до 20 млн; чистая прибыль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3 млн долларов на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Серийный выпуск выходит на 48 самолётов в год, всего не менее 300 машин; совокупная чистая прибыль проекта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не менее 900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Окупаемость зависит от сценария: в базовом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восьмого года с начала финансирования, в консервативном </w:t>
      </w:r>
      <w:r w:rsidDel="00000000" w:rsidR="00000000" w:rsidRPr="00000000">
        <w:rPr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 около десятого.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Базовый сценарий — финансовая модель по годам (млн долларов США)</w:t>
      </w:r>
      <w:r w:rsidDel="00000000" w:rsidR="00000000" w:rsidRPr="00000000">
        <w:rPr>
          <w:rtl w:val="0"/>
        </w:rPr>
      </w:r>
    </w:p>
    <w:tbl>
      <w:tblPr>
        <w:tblStyle w:val="Table2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0"/>
        <w:gridCol w:w="1470"/>
        <w:gridCol w:w="1620"/>
        <w:gridCol w:w="1575"/>
        <w:gridCol w:w="1425"/>
        <w:gridCol w:w="1590"/>
        <w:gridCol w:w="1395"/>
        <w:tblGridChange w:id="0">
          <w:tblGrid>
            <w:gridCol w:w="690"/>
            <w:gridCol w:w="1470"/>
            <w:gridCol w:w="1620"/>
            <w:gridCol w:w="1575"/>
            <w:gridCol w:w="1425"/>
            <w:gridCol w:w="1590"/>
            <w:gridCol w:w="139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Год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Инвестиции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Самолётов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Выручка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Затраты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Чистая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Накопл. поток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sdt>
              <w:sdtPr>
                <w:id w:val="-1605534878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−150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sdt>
              <w:sdtPr>
                <w:id w:val="-2003820501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 опытных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sdt>
              <w:sdtPr>
                <w:id w:val="1171263858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−420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sdt>
              <w:sdtPr>
                <w:id w:val="-453018103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−348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sdt>
              <w:sdtPr>
                <w:id w:val="1758206246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−276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sdt>
              <w:sdtPr>
                <w:id w:val="62306903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−180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sdt>
              <w:sdtPr>
                <w:id w:val="444285870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6"/>
                    <w:szCs w:val="16"/>
                    <w:rtl w:val="0"/>
                  </w:rPr>
                  <w:t xml:space="preserve">−84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+204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+348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1 056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Итого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7 600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6 688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+492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Накопленный денежный поток и точка окупаемости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83010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30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Млн долларов США, базовый сценарий. Красная линия — год выхода в плюс (окупаемость).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Сценарии </w:t>
      </w:r>
      <w:r w:rsidDel="00000000" w:rsidR="00000000" w:rsidRPr="00000000">
        <w:rPr>
          <w:rtl w:val="0"/>
        </w:rPr>
      </w:r>
    </w:p>
    <w:tbl>
      <w:tblPr>
        <w:tblStyle w:val="Table3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05"/>
        <w:gridCol w:w="1575"/>
        <w:gridCol w:w="2310"/>
        <w:gridCol w:w="3930"/>
        <w:tblGridChange w:id="0">
          <w:tblGrid>
            <w:gridCol w:w="1905"/>
            <w:gridCol w:w="1575"/>
            <w:gridCol w:w="2310"/>
            <w:gridCol w:w="393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AE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Сценарий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AF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0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Совокупная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B1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Ключевые 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8-го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 менее 900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Цена 25 млн $, прибыль 3 млн $/шт, </w:t>
              <w:br w:type="textWrapping"/>
              <w:t xml:space="preserve">выход на 48 шт/год по графику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Консервативный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10-го года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порядка 700 млн $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Издержки выше, прибыль около 2 млн $/шт, медленнее выход на полную мощность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Ориентир условий для инвестора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Объём привлечения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 около 420 млн долларов: это полное финансирование трёх лет разработки, испытаний и запуска серийного производства. В обмен инвесторы получают долю в холдинге; конкретная доля, оценка и условия — предмет переговоров.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Ориентировочная оценка проекта (post-money) — порядка 0,7–1,1 млрд долларов, исходя из прогнозной совокупной прибыли и срока окупаемости.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Этому соответствует совокупная доля инвесторов ориентировочно 40–60% за полное финансирование в 420 млн долларов.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Величины индикативны и уточняются по итогам переговоров и подтверждённой финансовой модели.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Г. Этапы и сроки реализации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От начала финансирования до старта серийного производства — 37 месяцев. Ключевые вехи: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14 месяцев: новый двигатель и крыло, пакет рабочей конструкторской документации, макетный образец, первый опытный самолёт.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18 месяцев: второй опытный самолёт для испытаний на прочность.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22 месяцев: третий и четвёртый опытные самолёты для испытаний крыла, оборудования и вооружения.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До 32–36 месяцев: все виды испытаний; первый предсерийный самолёт передаётся заказчику на войсковые испытания.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37-й месяц: начало серийного производства.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93035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93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Календарный план от начала финансирования (месяцы).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Д. Участники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Проект инициирован группой специалистов с опытом реализации проектов в авиационной отрасли. Сборка и серийное производство </w:t>
      </w:r>
      <w:r w:rsidDel="00000000" w:rsidR="00000000" w:rsidRPr="00000000">
        <w:rPr>
          <w:rtl w:val="0"/>
        </w:rPr>
        <w:t xml:space="preserve">Самолета будет осуществляться</w:t>
      </w:r>
      <w:r w:rsidDel="00000000" w:rsidR="00000000" w:rsidRPr="00000000">
        <w:rPr>
          <w:sz w:val="21"/>
          <w:szCs w:val="21"/>
          <w:rtl w:val="0"/>
        </w:rPr>
        <w:t xml:space="preserve"> в странах ЕС (на первом этапе Чехия, далее Болгария </w:t>
      </w:r>
      <w:r w:rsidDel="00000000" w:rsidR="00000000" w:rsidRPr="00000000">
        <w:rPr>
          <w:rtl w:val="0"/>
        </w:rPr>
        <w:t xml:space="preserve">или Польша</w:t>
      </w:r>
      <w:r w:rsidDel="00000000" w:rsidR="00000000" w:rsidRPr="00000000">
        <w:rPr>
          <w:sz w:val="21"/>
          <w:szCs w:val="21"/>
          <w:rtl w:val="0"/>
        </w:rPr>
        <w:t xml:space="preserve">). Ключевые промышленные участники: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Aero Vodochody (Чехия) — базовая платформа и сборка опытных образцов и серийных самолётов; известный производитель самолётов этого класса.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IAI (Израиль) — поставка комплекса авионики для опытных и серийных самолётов.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Ивченко-Прогрес и Мотор Сич (Украина) — поставка двигателя: разработка и адаптация, опытная партия, серийные двигатели и обслуживание.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Поставщики отдельных систем — по мере проработки конструкции.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Украина рассматривается как один из ключевых рынков сбыта. Опора на проверенные мировые предприятия снижает технологические и производственные риски; окончательное закрепление участия происходит договорами на этапе оформления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Е. Оценка проектных рисков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Ниже — основные проектные риски и меры их снижения. Оценки отражают позицию инициаторов и подлежат независимой проверке инвестором; в частности, спрос предполагается обеспечить предварительными контрактами, наличие которых инвестору следует подтвердить.</w:t>
      </w:r>
      <w:r w:rsidDel="00000000" w:rsidR="00000000" w:rsidRPr="00000000">
        <w:rPr>
          <w:rtl w:val="0"/>
        </w:rPr>
      </w:r>
    </w:p>
    <w:tbl>
      <w:tblPr>
        <w:tblStyle w:val="Table4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0"/>
        <w:gridCol w:w="1905"/>
        <w:gridCol w:w="5610"/>
        <w:tblGridChange w:id="0">
          <w:tblGrid>
            <w:gridCol w:w="2250"/>
            <w:gridCol w:w="1905"/>
            <w:gridCol w:w="561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D2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3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0D4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Меры снижения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Перерасход средств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Авторский надзор за реализацией; корректные договоры между участниками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Производственный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Подбор и обучение персонала; стимулирование управленческой команды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Инфляционный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Контракты в твёрдой валюте; хеджирование валютных рисков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Маркетинговый (сбыт)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Работа по предварительным контрактам на производство и поставку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Технологические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ниже среднего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20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Проверенные мировые поставщики компонентов и партнёры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42647" w:val="clear"/>
        <w:spacing w:after="160" w:before="200" w:lineRule="auto"/>
        <w:rPr/>
      </w:pPr>
      <w:r w:rsidDel="00000000" w:rsidR="00000000" w:rsidRPr="00000000">
        <w:rPr>
          <w:color w:val="aabedc"/>
          <w:sz w:val="20"/>
          <w:szCs w:val="20"/>
          <w:rtl w:val="0"/>
        </w:rPr>
        <w:t xml:space="preserve"> ЧАСТЬ II    </w:t>
      </w:r>
      <w:r w:rsidDel="00000000" w:rsidR="00000000" w:rsidRPr="00000000">
        <w:rPr>
          <w:b w:val="1"/>
          <w:bCs w:val="1"/>
          <w:color w:val="ffffff"/>
          <w:sz w:val="30"/>
          <w:szCs w:val="30"/>
          <w:rtl w:val="0"/>
        </w:rPr>
        <w:t xml:space="preserve">Корпоративная структура и налогообложение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1. Рекомендуемая структура и 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Юрисдикции структуры и ставки налога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14788" cy="813471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3362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4788" cy="8134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Все страны структуры — члены НАТО, а Болгария и Чехия также входят в ЕС. Прибыль накапливается в Болгарии с одной из самых низких в Евросоюзе ставок — 10%; британский холдинг не платит налог при получении и распределении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1 — производство по заказу (базовая структура Проекта)</w:t>
      </w:r>
    </w:p>
    <w:p w:rsidR="00000000" w:rsidDel="00000000" w:rsidP="00000000" w:rsidRDefault="00000000" w:rsidRPr="00000000" w14:paraId="000000E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3485502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819275"/>
                          <a:ext cx="6089968" cy="3485502"/>
                          <a:chOff x="0" y="819275"/>
                          <a:chExt cx="7498475" cy="42829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организация производства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послепродажного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обслуживания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/>
                        <wps:cNvPr id="13" name="Shape 13"/>
                        <wps:spPr>
                          <a:xfrm>
                            <a:off x="0" y="4183975"/>
                            <a:ext cx="7493700" cy="913500"/>
                          </a:xfrm>
                          <a:prstGeom prst="rect">
                            <a:avLst/>
                          </a:prstGeom>
                          <a:solidFill>
                            <a:srgbClr val="FCE5CD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Aero Vodochody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toll/contract manufacturing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(Чехия, независимый завод)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Производит сборку самолетов на основании документации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Principal Co, по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ее заказу и за плату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509" y="3960829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5" name="Shape 15"/>
                        <wps:spPr>
                          <a:xfrm>
                            <a:off x="2052515" y="3898025"/>
                            <a:ext cx="15126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заказ производства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3485502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348550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Завод Aero Vodochody в группу не входит: он собирает самолёт по заказу за плату. Компоненты, включая двигатели (Мотор Сич) и авионику IAI (Израиль), поставляют внешние партнёры через Principal 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Этап 2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6089968" cy="2561346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7350" y="819275"/>
                          <a:ext cx="6089968" cy="2561346"/>
                          <a:chOff x="7350" y="819275"/>
                          <a:chExt cx="7491125" cy="3146075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1910109" y="824050"/>
                            <a:ext cx="3552900" cy="588900"/>
                          </a:xfrm>
                          <a:prstGeom prst="rect">
                            <a:avLst/>
                          </a:prstGeom>
                          <a:solidFill>
                            <a:srgbClr val="D9EAD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Инвесторы и Участники Проекта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86559" y="1412950"/>
                            <a:ext cx="0" cy="2637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291000" y="1696950"/>
                            <a:ext cx="4811700" cy="832500"/>
                          </a:xfrm>
                          <a:prstGeom prst="rect">
                            <a:avLst/>
                          </a:prstGeom>
                          <a:solidFill>
                            <a:srgbClr val="CFE2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Holding Co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Великобритания)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Владеет проектом через 100% собственности в PrincipalCo и SalesCo;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финансирует проект; распределяет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прибыль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инвесторам.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3696850" y="2529450"/>
                            <a:ext cx="0" cy="2130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3552900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20623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5615274" y="2742576"/>
                            <a:ext cx="0" cy="20310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med" w="med" type="none"/>
                            <a:tailEnd len="med" w="med" type="stealth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2128" y="2945675"/>
                            <a:ext cx="3552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Principal Co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 - OEM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1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IP права на документацию; держатель DOA и С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ертификата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Типа; общее управление проектом, сборка самолетов и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послепродажное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 обслуживание на собственных мощностях</w:t>
                              </w: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0" name="Shape 10"/>
                        <wps:spPr>
                          <a:xfrm>
                            <a:off x="3838797" y="2945675"/>
                            <a:ext cx="3654900" cy="1014900"/>
                          </a:xfrm>
                          <a:prstGeom prst="rect">
                            <a:avLst/>
                          </a:prstGeom>
                          <a:solidFill>
                            <a:srgbClr val="F3F3F3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Sales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Co 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(рекомендуется Болгария)</w:t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br w:type="textWrapping"/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</w:r>
                              <w:r w:rsidDel="00000000" w:rsidR="00000000" w:rsidRPr="00000000">
                                <w:rPr>
                                  <w:rFonts w:ascii="Helvetica Neue" w:cs="Helvetica Neue" w:eastAsia="Helvetica Neue" w:hAnsi="Helvetica Neue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18"/>
                                  <w:vertAlign w:val="baseline"/>
                                </w:rPr>
                                <w:t xml:space="preserve">Военно-экспортная лицензия; контракты с покупателями; продажа готовых самолетов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11" name="Shape 11"/>
                        <wps:spPr>
                          <a:xfrm>
                            <a:off x="3696854" y="2466600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  <wps:wsp>
                        <wps:cNvSpPr txBox="1"/>
                        <wps:cNvPr id="12" name="Shape 12"/>
                        <wps:spPr>
                          <a:xfrm>
                            <a:off x="3681708" y="1399113"/>
                            <a:ext cx="553500" cy="33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0"/>
                                  <w:vertAlign w:val="baseline"/>
                                </w:rPr>
                                <w:t xml:space="preserve">100%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089968" cy="2561346"/>
                <wp:effectExtent b="0" l="0" r="0" t="0"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9968" cy="256134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По мере роста группа строит собственный завод, и Principal Co становится непосредственным сброщиком самолета.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Ключевые 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Низкая нагрузка на прибыль.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Операционная прибыль облагается в Болгарии по плоской ставке 10% — одной из самых низких в ЕС. К этому добавляются операционные плюсы: дешёвая рабочая сила в ЕС, невысокая стоимость организации производства и присутствия, логистическая близость к поставщикам и к рынкам сбыта в регионе.</w:t>
      </w:r>
    </w:p>
    <w:p w:rsidR="00000000" w:rsidDel="00000000" w:rsidP="00000000" w:rsidRDefault="00000000" w:rsidRPr="00000000" w14:paraId="000000F6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Прибыль доходит наверх без потерь.</w:t>
      </w:r>
      <w:sdt>
        <w:sdtPr>
          <w:id w:val="-974476973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Передача из Болгарии в британский холдинг не облагается налогом у источника (ст. 10 договора 2015 г.: доля ≥10%, не менее года); полученные дивиденды в Великобритании освобождены при соблюдении условий. </w:t>
          </w:r>
        </w:sdtContent>
      </w:sdt>
    </w:p>
    <w:p w:rsidR="00000000" w:rsidDel="00000000" w:rsidP="00000000" w:rsidRDefault="00000000" w:rsidRPr="00000000" w14:paraId="000000F7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Эффективное распределение.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не удерживает налог на дивиденды ни при каком составе собственников (в отличие от Люксембурга). Выплата инвесторам — 0% удержания у источника; до инвестора доходит около 9/10 чистой прибыли (раздел 5.3).</w:t>
      </w:r>
    </w:p>
    <w:p w:rsidR="00000000" w:rsidDel="00000000" w:rsidP="00000000" w:rsidRDefault="00000000" w:rsidRPr="00000000" w14:paraId="000000F8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Надёжная юрисдикция холдинга.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— признанный финансовый и холдинговый центр. Английское право, независимые суды и развитый арбитраж; удобна для соинвестирования, финансирования и выхода. Права инвесторов закреплены АС (раздел 9).</w:t>
      </w:r>
    </w:p>
    <w:p w:rsidR="00000000" w:rsidDel="00000000" w:rsidP="00000000" w:rsidRDefault="00000000" w:rsidRPr="00000000" w14:paraId="000000F9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Соответствие военно-экспортным требованиям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. Болгария и Чехия — члены НАТО и ЕС с полноценными режимами лицензирования; производственная сертификация на Principal Co; экспортная лицензия на SalesCo. Отдельно закрываются вопросы страны выдачи лицензии (раздел 7.6) и контроля над лицензиатом со стороны лиц НАТО/ЕС (раздел 7.5).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инвестиций.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пользуется действующим договором о защите инвестиций с Болгарией (1995, в силе с 1997) и Чехией (1990): гарантии от экспроприации, свободный перевод доходов и прямой доступ к международному арбитражу против государства (исполнимо в 170+ странах). У Люксембурга такой защиты нет (раздел 2.4).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360"/>
        <w:jc w:val="both"/>
        <w:rPr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Гибкость и удобный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Переход к собственному производству на втором этапе не требует перестройки владения. Выход — продажа или IPO на уровне холдинга; продажа долей на уровне структуры освобождена от налога на прирост.</w:t>
      </w:r>
    </w:p>
    <w:p w:rsidR="00000000" w:rsidDel="00000000" w:rsidP="00000000" w:rsidRDefault="00000000" w:rsidRPr="00000000" w14:paraId="000000F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2. Холдинговая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проходят на её уровне.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2.1 Сравнение юрисдикций по ключевым критериям</w:t>
      </w:r>
    </w:p>
    <w:tbl>
      <w:tblPr>
        <w:tblStyle w:val="Table5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45"/>
        <w:gridCol w:w="1740"/>
        <w:gridCol w:w="1800"/>
        <w:gridCol w:w="1770"/>
        <w:gridCol w:w="1695"/>
        <w:tblGridChange w:id="0">
          <w:tblGrid>
            <w:gridCol w:w="2745"/>
            <w:gridCol w:w="1740"/>
            <w:gridCol w:w="1800"/>
            <w:gridCol w:w="1770"/>
            <w:gridCol w:w="1695"/>
          </w:tblGrid>
        </w:tblGridChange>
      </w:tblGrid>
      <w:tr>
        <w:trPr>
          <w:cantSplit w:val="0"/>
          <w:trHeight w:val="75.48339843749997" w:hRule="atLeast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0FF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Критерий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0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Великобритания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1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Люксембург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2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Ирландия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03">
            <w:pPr>
              <w:spacing w:after="20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Нидерланды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Прибыль от операционной компании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без потерь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при выплате инвесторам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20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20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при выходе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 условиях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наиболее широкое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Стоимость сабстанса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средняя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rHeight w:val="0" w:hRule="atLeast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Качество суда и права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английское право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высокое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Репутация для инвесторов</w:t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высшая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высокая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Членство в ЕС</w:t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нет</w:t>
            </w:r>
          </w:p>
        </w:tc>
        <w:tc>
          <w:tcPr/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  <w:tc>
          <w:tcPr/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2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2.2 Итоговая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Во всех четырёх юрисдикциях прибыль поступает из </w:t>
      </w:r>
      <w:r w:rsidDel="00000000" w:rsidR="00000000" w:rsidRPr="00000000">
        <w:rPr>
          <w:rtl w:val="0"/>
        </w:rPr>
        <w:t xml:space="preserve">Principal Co</w:t>
      </w:r>
      <w:r w:rsidDel="00000000" w:rsidR="00000000" w:rsidRPr="00000000">
        <w:rPr>
          <w:sz w:val="21"/>
          <w:szCs w:val="21"/>
          <w:rtl w:val="0"/>
        </w:rPr>
        <w:t xml:space="preserve"> в холдинг без налога у источника, а выплата инвесторам сводится к нулю при доле не менее 10%. Поэтому итоговая нагрузка практически одинакова, и выбор определяется надёжностью освобождения, режимом выхода, стоимостью содержания и репутацией.</w:t>
      </w:r>
      <w:r w:rsidDel="00000000" w:rsidR="00000000" w:rsidRPr="00000000">
        <w:rPr>
          <w:rtl w:val="0"/>
        </w:rPr>
      </w:r>
    </w:p>
    <w:tbl>
      <w:tblPr>
        <w:tblStyle w:val="Table6"/>
        <w:tblW w:w="97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5"/>
        <w:gridCol w:w="2775"/>
        <w:gridCol w:w="5055"/>
        <w:tblGridChange w:id="0">
          <w:tblGrid>
            <w:gridCol w:w="1935"/>
            <w:gridCol w:w="2775"/>
            <w:gridCol w:w="5055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29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Юрисдикция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A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 при выплате инвестору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2B">
            <w:pPr>
              <w:spacing w:after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для всех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у источника на дивиденды не взимается в принципе; дивиденды из Болгарии не облагаются (ноль по налоговому соглашению); содержание дешевле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Люксембург*</w:t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sdt>
              <w:sdtPr>
                <w:id w:val="383879457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Ноль для держателей с долей ≥10%, облагаемых налогом не менее 8% в своей стране; наиболее широкий режим выхода</w:t>
                </w:r>
              </w:sdtContent>
            </w:sdt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Ирландия</w:t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по договору</w:t>
            </w:r>
          </w:p>
        </w:tc>
        <w:tc>
          <w:tcPr/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Общее право; освобождение при условиях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Нидерланды</w:t>
            </w:r>
          </w:p>
        </w:tc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 / минимум</w:t>
            </w:r>
          </w:p>
        </w:tc>
        <w:tc>
          <w:tcPr/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left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Автоматическое освобождение; содержание дороже</w:t>
            </w:r>
          </w:p>
        </w:tc>
      </w:tr>
    </w:tbl>
    <w:p w:rsidR="00000000" w:rsidDel="00000000" w:rsidP="00000000" w:rsidRDefault="00000000" w:rsidRPr="00000000" w14:paraId="00000138">
      <w:pPr>
        <w:spacing w:after="100" w:lineRule="auto"/>
        <w:jc w:val="both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iCs w:val="1"/>
          <w:rtl w:val="0"/>
        </w:rPr>
        <w:t xml:space="preserve">*</w:t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Важное различие:</w:t>
      </w:r>
      <w:r w:rsidDel="00000000" w:rsidR="00000000" w:rsidRPr="00000000">
        <w:rPr>
          <w:sz w:val="21"/>
          <w:szCs w:val="21"/>
          <w:rtl w:val="0"/>
        </w:rPr>
        <w:t xml:space="preserve"> в Люксембурге нулевой налог при выплате инвестору возможен только если получатель — компания, облагаемая налогом не менее 8% в своей стране. Великобритания не удерживает налог на дивиденды ни при каком составе собственников — поэтому она и рекомендована.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2.3 Почему исключена Швейцария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Швейцария привлекательна по налогам и репутации, но для оборонного проекта с экспортной составляющей не подходит: законы о военных материалах и о нейтралитете жёстко ограничивают участие швейцарских компаний в поставках военной продукции и её реэкспорте.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2.4 Защита инвестиций: национальное право и инвестиционные договоры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40" w:before="16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Вложения инвесторов защищены на двух уровнях: правом страны холдинга и международными договорами о защите инвестиций между страной холдинга и государствами, где находятся активы.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Великобритания обеспечивает верховенство права, независимые суды, защиту собственности (ст. 1 Протокола № 1 к ЕКПЧ) и свободное перемещение средств. Люксембург как член ЕС гарантирует защиту собственности (ст. 17 Хартии ЕС) и свободу движения капитала (ст. 63 ДФЕС).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00" w:lineRule="auto"/>
        <w:jc w:val="both"/>
        <w:rPr>
          <w:sz w:val="21"/>
          <w:szCs w:val="21"/>
        </w:rPr>
      </w:pPr>
      <w:sdt>
        <w:sdtPr>
          <w:id w:val="-1488082029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«холдинг → активы» у Великобритании есть действующий договор о защите инвестиций с Болгарией (1995, в силе с 1997) и с Чехией (1990): гарантии от экспроприации, справедливый режим, свободный перевод доходов и доступ к международному арбитражу против государства. </w:t>
          </w:r>
        </w:sdtContent>
      </w:sdt>
    </w:p>
    <w:p w:rsidR="00000000" w:rsidDel="00000000" w:rsidP="00000000" w:rsidRDefault="00000000" w:rsidRPr="00000000" w14:paraId="00000140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Люксембургский холдинг такой защиты в отношении этих стран лишён: договоры между государствами ЕС прекращены соглашением 2020 года (после решения Суда ЕС по делу Achmea).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60" w:line="276" w:lineRule="auto"/>
        <w:ind w:left="0" w:right="0" w:firstLine="0"/>
        <w:jc w:val="both"/>
        <w:rPr>
          <w:b w:val="1"/>
          <w:bCs w:val="1"/>
          <w:color w:val="142647"/>
          <w:sz w:val="22"/>
          <w:szCs w:val="22"/>
        </w:rPr>
      </w:pPr>
      <w:sdt>
        <w:sdtPr>
          <w:id w:val="-260665300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1"/>
              <w:szCs w:val="21"/>
              <w:rtl w:val="0"/>
            </w:rPr>
            <w:t xml:space="preserve">На уровне «инвестор → холдинг» защищает другой договор — между страной инвестора и страной холдинга. И Великобритания (с ОАЭ — 1992), и Люксембург через союз с Бельгией (BLEU; с ОАЭ — 2004, с Саудовской Аравией — 2001) имеют такие договоры. Значение этого слоя умеренное: вероятность экспроприации со стороны самих Великобритании или Люксембурга крайне мала.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00" w:lineRule="auto"/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Оговорки:</w:t>
      </w:r>
      <w:r w:rsidDel="00000000" w:rsidR="00000000" w:rsidRPr="00000000">
        <w:rPr>
          <w:sz w:val="21"/>
          <w:szCs w:val="21"/>
          <w:rtl w:val="0"/>
        </w:rPr>
        <w:t xml:space="preserve"> Европейская комиссия добивается прекращения британских договоров с Болгарией и Чехией (дело в Суде ЕС, декабрь 2024); договор Великобритания—Польша прекращён в 2018 году. И Великобритания, и Люксембург участвуют в Вашингтонской (ICSID) и Нью-Йоркской конвенциях, поэтому арбитражные решения исполнимы более чем в 170 странах.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vqyvub36p5xe" w:id="0"/>
      <w:bookmarkEnd w:id="0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2.5 Стоимость содержания холдинга (реальное присутствие)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sqx705f5ylcg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color w:val="1c1c1c"/>
          <w:sz w:val="21"/>
          <w:szCs w:val="21"/>
          <w:rtl w:val="0"/>
        </w:rPr>
        <w:t xml:space="preserve">Чтобы холдинг сохранял освобождения и договорные льготы (0% при передаче прибыли из Болгарии, освобождение дивидендов и прироста) и принимался банками, он должен реально управляться из страны регистрации. Налоговый результат у четырёх юрисдикций почти одинаков (раздел 2.2), поэтому стоимость и сложность содержания становятся одним из критериев выбора. </w:t>
      </w:r>
      <w:r w:rsidDel="00000000" w:rsidR="00000000" w:rsidRPr="00000000">
        <w:rPr>
          <w:rtl w:val="0"/>
        </w:rPr>
      </w:r>
    </w:p>
    <w:tbl>
      <w:tblPr>
        <w:tblStyle w:val="Table7"/>
        <w:tblW w:w="9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2040"/>
        <w:gridCol w:w="2160"/>
        <w:gridCol w:w="2190"/>
        <w:gridCol w:w="1815"/>
        <w:tblGridChange w:id="0">
          <w:tblGrid>
            <w:gridCol w:w="1560"/>
            <w:gridCol w:w="2040"/>
            <w:gridCol w:w="2160"/>
            <w:gridCol w:w="2190"/>
            <w:gridCol w:w="181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Элемент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Ирландия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Нидерланды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Директора (минимум)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 (физлицо)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3 для S.A.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1</w:t>
            </w:r>
          </w:p>
        </w:tc>
      </w:tr>
      <w:tr>
        <w:trPr>
          <w:cantSplit w:val="0"/>
          <w:trHeight w:val="58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Резидентство директоров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требуется, но желательно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33993242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Люксембурга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9403540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≥1 резидент ЕЭЗ 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112799537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≥50% — резиденты Нидерландов</w:t>
                </w:r>
              </w:sdtContent>
            </w:sdt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Где проводится совет / решения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UK (не требуется, но желательно)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обязательно в Люксембурге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 Нидерландах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Корпоративный секретарь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(для частной Ltd)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 (института нет)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требуется (при единственном директоре — отдельное лицо)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 требуется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/ домициляция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UK, желательно 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или домициляция через лицензированного агента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зарегистрированный офис в Ирландии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офис в Нидерландах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Минимальный капитал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 (номинал £1)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S.A. — €30 000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</w:tr>
      <w:tr>
        <w:trPr>
          <w:cantSplit w:val="0"/>
          <w:trHeight w:val="486.6718750000000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Ориентир. расходы, €/год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70–120 тыс.+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50–70 тыс.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60–90 тыс.</w:t>
            </w:r>
          </w:p>
        </w:tc>
      </w:tr>
    </w:tbl>
    <w:p w:rsidR="00000000" w:rsidDel="00000000" w:rsidP="00000000" w:rsidRDefault="00000000" w:rsidRPr="00000000" w14:paraId="000001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Великобритания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умеренный режим. Достаточно одного директора без требования к резидентству, хотя резидент Великобритании рекомендуется с точки зрения создания сабстанса; налоговое резидентство компании возникает автоматически по факту регистрации в UK. Оговорка: для уверенного статуса бенефициарного собственника по договору, прохождения теста основной цели и приёма банками разумно всё же назначить британского директора и проводить совет в UK — даже с этим запасом содержание остаётся самым недорогим.</w:t>
      </w:r>
    </w:p>
    <w:p w:rsidR="00000000" w:rsidDel="00000000" w:rsidP="00000000" w:rsidRDefault="00000000" w:rsidRPr="00000000" w14:paraId="000001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Люксембург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самый требовательный и дорогой. Стандартный холдинг (S.A.) — это совет минимум из трёх директоров с большинством резидентов Люксембурга, заседания и ключевые решения в стране, домициляция через лицензированного агента, обязательный внутренний аудитор (commissaire), а сверх порогов — внешний аудит; плюс минимальный капитал €30 000. Это и сложнее организационно, и заметно дороже в год.</w:t>
      </w:r>
    </w:p>
    <w:p w:rsidR="00000000" w:rsidDel="00000000" w:rsidP="00000000" w:rsidRDefault="00000000" w:rsidRPr="00000000" w14:paraId="000001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Нидерланды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близки к Люксембургу: большинство директоров — налоговые резиденты Нидерландов плюс формальный перечень substance (бухучёт, банк и решения в стране).</w:t>
      </w:r>
    </w:p>
    <w:p w:rsidR="00000000" w:rsidDel="00000000" w:rsidP="00000000" w:rsidRDefault="00000000" w:rsidRPr="00000000" w14:paraId="000001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Ирландия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умеренный вариант: достаточно одного директора-резидента ЕЭЗ, но обязателен корпоративный секретарь.</w:t>
      </w:r>
    </w:p>
    <w:p w:rsidR="00000000" w:rsidDel="00000000" w:rsidP="00000000" w:rsidRDefault="00000000" w:rsidRPr="00000000" w14:paraId="000001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По стоимости и простоте содержания Великобритания выигрывает, тогда как Люксембург и Нидерланды требуют совета с большинством местных резидентов и более тяжёлого администрирования. </w:t>
      </w:r>
    </w:p>
    <w:p w:rsidR="00000000" w:rsidDel="00000000" w:rsidP="00000000" w:rsidRDefault="00000000" w:rsidRPr="00000000" w14:paraId="000001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Суммы расходов — ориентировочные (зависят от числа и статуса директоров, расходов на офис, аудит и оборонную специфику).</w:t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otr5rk15pob4" w:id="2"/>
      <w:bookmarkEnd w:id="2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2.6 Налогообложение при выходе из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pageBreakBefore w:val="0"/>
        <w:widowControl w:val="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="319.9992" w:lineRule="auto"/>
        <w:ind w:left="0" w:right="0" w:firstLine="0"/>
        <w:jc w:val="both"/>
        <w:rPr>
          <w:rFonts w:ascii="Roboto" w:cs="Roboto" w:eastAsia="Roboto" w:hAnsi="Roboto"/>
          <w:b w:val="0"/>
          <w:bCs w:val="0"/>
          <w:color w:val="0a0a0a"/>
          <w:sz w:val="21"/>
          <w:szCs w:val="21"/>
        </w:rPr>
      </w:pPr>
      <w:bookmarkStart w:colFirst="0" w:colLast="0" w:name="_heading=h.uuaykemmprg8" w:id="3"/>
      <w:bookmarkEnd w:id="3"/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Выход из проекта может принимать три формы: продажа операционных компаний самим холдингом, продажа долей холдинга инвесторами или публичное размещение (IPO) на уровне холдинга. </w:t>
      </w:r>
    </w:p>
    <w:p w:rsidR="00000000" w:rsidDel="00000000" w:rsidP="00000000" w:rsidRDefault="00000000" w:rsidRPr="00000000" w14:paraId="000001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 различных юрисдикциях данные сценарии различаются, поэтому «освобождение при выходе» — это полноценный критерий выбора холдинга.</w:t>
      </w:r>
    </w:p>
    <w:p w:rsidR="00000000" w:rsidDel="00000000" w:rsidP="00000000" w:rsidRDefault="00000000" w:rsidRPr="00000000" w14:paraId="000001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1. Холдинг продаёт операционные (болгарские) компании.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</w:t>
      </w:r>
    </w:p>
    <w:p w:rsidR="00000000" w:rsidDel="00000000" w:rsidP="00000000" w:rsidRDefault="00000000" w:rsidRPr="00000000" w14:paraId="000001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Прирост стоимости освобождается во всех четырёх юрисдикциях, но условия разные:</w:t>
      </w:r>
    </w:p>
    <w:sdt>
      <w:sdtPr>
        <w:lock w:val="contentLocked"/>
        <w:id w:val="1510543168"/>
        <w:tag w:val="goog_rdk_21"/>
      </w:sdtPr>
      <w:sdtContent>
        <w:tbl>
          <w:tblPr>
            <w:tblStyle w:val="Table8"/>
            <w:tblW w:w="975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710"/>
            <w:gridCol w:w="2535"/>
            <w:gridCol w:w="1155"/>
            <w:gridCol w:w="1650"/>
            <w:gridCol w:w="2700"/>
            <w:tblGridChange w:id="0">
              <w:tblGrid>
                <w:gridCol w:w="1710"/>
                <w:gridCol w:w="2535"/>
                <w:gridCol w:w="1155"/>
                <w:gridCol w:w="1650"/>
                <w:gridCol w:w="270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Норма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Порог доли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Срок владения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Условие</w:t>
                </w:r>
              </w:p>
            </w:tc>
          </w:tr>
          <w:tr>
            <w:trPr>
              <w:cantSplit w:val="0"/>
              <w:trHeight w:val="69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 (прил. 7AC)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61565247"/>
                    <w:tag w:val="goog_rdk_15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≥10%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510780029"/>
                    <w:tag w:val="goog_rdk_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6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продаваемая компания торговая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166)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7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4341925"/>
                    <w:tag w:val="goog_rdk_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≥10% или €6 млн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12 мес.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распространяется и на пассивные участия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освобождение участия (ст. 626B)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1682925403"/>
                    <w:tag w:val="goog_rdk_18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-720135036"/>
                    <w:tag w:val="goog_rdk_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≥12 мес. (в течение 3 лет)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торговая + резидент ЕС/договорной страны</w:t>
                </w:r>
              </w:p>
            </w:tc>
          </w:tr>
          <w:tr>
            <w:trPr>
              <w:cantSplit w:val="0"/>
              <w:trHeight w:val="510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deelnemingsvrijstelling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55958863"/>
                    <w:tag w:val="goog_rdk_20"/>
                  </w:sdtPr>
                  <w:sdtContent>
                    <w:r w:rsidDel="00000000" w:rsidR="00000000" w:rsidRPr="00000000">
                      <w:rPr>
                        <w:rFonts w:ascii="Nova Mono" w:cs="Nova Mono" w:eastAsia="Nova Mono" w:hAnsi="Nova Mono"/>
                        <w:color w:val="0a0a0a"/>
                        <w:sz w:val="16"/>
                        <w:szCs w:val="16"/>
                        <w:rtl w:val="0"/>
                      </w:rPr>
                      <w:t xml:space="preserve">≥5%</w:t>
                    </w:r>
                  </w:sdtContent>
                </w:sdt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срока нет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 «низконалоговое пассивное» вложение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Болгарские компании проекта — действующие торговые компании с долей 100%, поэтому условие выполняется во всех вариантах. </w:t>
      </w:r>
    </w:p>
    <w:p w:rsidR="00000000" w:rsidDel="00000000" w:rsidP="00000000" w:rsidRDefault="00000000" w:rsidRPr="00000000" w14:paraId="000001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Различие — в широте режима: у Нидерландов самый низкий порог (5%) и нет срока владения, у Ирландии тоже 5%, у Люксембурга освобождение распространяется и на пассивные участия (поэтому в §2.1 оно отмечено как «наиболее широкое»), а Великобритания требует, чтобы продаваемая компания была торговой (для нашего проекта — выполнено).</w:t>
      </w:r>
    </w:p>
    <w:p w:rsidR="00000000" w:rsidDel="00000000" w:rsidP="00000000" w:rsidRDefault="00000000" w:rsidRPr="00000000" w14:paraId="000001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b w:val="1"/>
          <w:bCs w:val="1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Уровень 2. Инвестор продаёт долю холдинга. </w:t>
      </w:r>
    </w:p>
    <w:p w:rsidR="00000000" w:rsidDel="00000000" w:rsidP="00000000" w:rsidRDefault="00000000" w:rsidRPr="00000000" w14:paraId="000001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вопрос — облагает ли страна холдинга нерезидента при продаже его доли:</w:t>
      </w:r>
    </w:p>
    <w:sdt>
      <w:sdtPr>
        <w:lock w:val="contentLocked"/>
        <w:id w:val="-1890153305"/>
        <w:tag w:val="goog_rdk_23"/>
      </w:sdtPr>
      <w:sdtContent>
        <w:tbl>
          <w:tblPr>
            <w:tblStyle w:val="Table9"/>
            <w:tblW w:w="976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905"/>
            <w:gridCol w:w="7860"/>
            <w:tblGridChange w:id="0">
              <w:tblGrid>
                <w:gridCol w:w="1905"/>
                <w:gridCol w:w="7860"/>
              </w:tblGrid>
            </w:tblGridChange>
          </w:tblGrid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Юрисдикция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1c4587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ffffff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ffffff"/>
                    <w:sz w:val="16"/>
                    <w:szCs w:val="16"/>
                    <w:rtl w:val="0"/>
                  </w:rPr>
                  <w:t xml:space="preserve">Налог для инвестора-нерезидента при продаже доли холдинга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Великобритания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чья стоимость в основном — британская недвижимость)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Ирландия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нет (кроме компаний, «богатых» ирландской землёй)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Люксембург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может облагать продажу существенного участия (&gt;10%) в первые 6 месяцев после приобретения</w:t>
                </w:r>
              </w:p>
            </w:tc>
          </w:tr>
          <w:tr>
            <w:trPr>
              <w:cantSplit w:val="0"/>
              <w:trHeight w:val="49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Roboto" w:cs="Roboto" w:eastAsia="Roboto" w:hAnsi="Roboto"/>
                    <w:color w:val="0a0a0a"/>
                    <w:sz w:val="16"/>
                    <w:szCs w:val="16"/>
                    <w:rtl w:val="0"/>
                  </w:rPr>
                  <w:t xml:space="preserve">Нидерланды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Roboto" w:cs="Roboto" w:eastAsia="Roboto" w:hAnsi="Roboto"/>
                    <w:color w:val="0a0a0a"/>
                    <w:sz w:val="16"/>
                    <w:szCs w:val="16"/>
                  </w:rPr>
                </w:pPr>
                <w:sdt>
                  <w:sdtPr>
                    <w:id w:val="1309263859"/>
                    <w:tag w:val="goog_rdk_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color w:val="0a0a0a"/>
                        <w:sz w:val="16"/>
                        <w:szCs w:val="16"/>
                        <w:rtl w:val="0"/>
                      </w:rPr>
                      <w:t xml:space="preserve">возможен налог по правилам «существенного интереса» (≥5%) при признании схемы искусственной (антизлоупотребление)</w:t>
                    </w:r>
                  </w:sdtContent>
                </w:sdt>
              </w:p>
            </w:tc>
          </w:tr>
        </w:tbl>
      </w:sdtContent>
    </w:sdt>
    <w:p w:rsidR="00000000" w:rsidDel="00000000" w:rsidP="00000000" w:rsidRDefault="00000000" w:rsidRPr="00000000" w14:paraId="000001A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На этой линии Великобритания и Ирландия — наиболее чистые: нерезидент при продаже доли холдинга налогом не облагается. У Люксембурга и Нидерландов есть условные основания для обложения.</w:t>
      </w:r>
    </w:p>
    <w:p w:rsidR="00000000" w:rsidDel="00000000" w:rsidP="00000000" w:rsidRDefault="00000000" w:rsidRPr="00000000" w14:paraId="000001A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Во всех вариантах налог на уровне структуры либо нулевой, либо освобождён; фактический налог инвестора возникает в стране его резидентства и зависит от его ситуации (раздел 8).</w:t>
      </w:r>
    </w:p>
    <w:p w:rsidR="00000000" w:rsidDel="00000000" w:rsidP="00000000" w:rsidRDefault="00000000" w:rsidRPr="00000000" w14:paraId="000001A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Здесь работает важный приём: при владении долей через компанию (а не как физлицо) к выходу может применяться собственное освобождение участия инвестора — и прирост освобождается уже на его уровне. Это ещё один довод владеть долей через компанию и с долей не менее 10%.</w:t>
      </w:r>
    </w:p>
    <w:p w:rsidR="00000000" w:rsidDel="00000000" w:rsidP="00000000" w:rsidRDefault="00000000" w:rsidRPr="00000000" w14:paraId="000001A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Механика выхода (преимущественный выкуп, совместная и принудительная продажа, IPO) регулируется акционерным соглашением (раздел 9).</w:t>
      </w:r>
    </w:p>
    <w:p w:rsidR="00000000" w:rsidDel="00000000" w:rsidP="00000000" w:rsidRDefault="00000000" w:rsidRPr="00000000" w14:paraId="000001A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 по критерию.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Освобождение прироста на уровне структуры дают все четыре юрисдикции. Для нашего проекта (торговая группа, доли 100%, международные инвесторы) критерий выхода работает в пользу Великобритании и Ирландии, что согласуется с итоговой рекомендацией (§2.8).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i6x9o4tzuche" w:id="4"/>
      <w:bookmarkEnd w:id="4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2.7 Великобритания и Люксембург: детальное сравнение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Великобритания и Люксембург — две финальные кандидатуры на роль холдинга: налоговый результат у них практически одинаков, а различия проявляются в деталях, которые для нашего проекта оказываются решающими.</w:t>
      </w:r>
    </w:p>
    <w:tbl>
      <w:tblPr>
        <w:tblStyle w:val="Table10"/>
        <w:tblW w:w="974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8.4454303460516"/>
        <w:gridCol w:w="3977.9591836734694"/>
        <w:gridCol w:w="3839.595385980479"/>
        <w:tblGridChange w:id="0">
          <w:tblGrid>
            <w:gridCol w:w="1928.4454303460516"/>
            <w:gridCol w:w="3977.9591836734694"/>
            <w:gridCol w:w="3839.595385980479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Линия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Великобритания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ffffff"/>
                <w:sz w:val="16"/>
                <w:szCs w:val="16"/>
                <w:rtl w:val="0"/>
              </w:rPr>
              <w:t xml:space="preserve">Люксембург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Удержание на дивидендах инвестору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0% для всех, без условий и проверки статуса получателя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655144431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15% по умолчанию; 0% только если получатель — компания, облагаемая налогом не менее 8%, доля ≥10%, срок 12 месяцев</w:t>
                </w:r>
              </w:sdtContent>
            </w:sdt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Вход прибыли из Болгарии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534343106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налоговому соглашению 2015 года (доля ≥10%, не менее года)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1366753573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0% по Директиве ЕС о материнских и дочерних компаниях (доля ≥10%, 2 года)</w:t>
                </w:r>
              </w:sdtContent>
            </w:sdt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Полученные холдингом дивиденды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(часть 9A Закона о корпоративном налоге 2009 года)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освобождены (статья 166, освобождение участия)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холдинг продаёт операционные компании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2072081190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существенного участия: доля ≥10%, ≥12 месяцев, торговая компания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932608273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освобождение участия: доля ≥10% или €6 млн, 12 месяцев; шире — и пассивные участия</w:t>
                </w:r>
              </w:sdtContent>
            </w:sdt>
          </w:p>
        </w:tc>
      </w:tr>
      <w:tr>
        <w:trPr>
          <w:cantSplit w:val="0"/>
          <w:trHeight w:val="857.507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Выход: инвестор продаёт долю холдинга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нерезидент налогом не облагается (кроме «недвижимостных» компаний)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возможен налог при продаже существенного участия (свыше 10%) в первые 6 месяцев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Стоимость содержания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один директор без требования к резидентству; секретарь и аудит малой компании не нужны; капитала нет (~€10–30 тыс./год)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минимум три директора с большинством резидентов; домициляция; внутренний аудитор; капитал €30 тыс. (~€35–70 тыс./год)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-153488929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«холдинг → активы»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действующие договоры с Болгарией (1995) и Чехией (1990) с арбитражем против государства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внутрисоюзные договоры прекращены (после дела Achmea, 2020), только право ЕС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sdt>
              <w:sdtPr>
                <w:id w:val="789006100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a0a0a"/>
                    <w:sz w:val="16"/>
                    <w:szCs w:val="16"/>
                    <w:rtl w:val="0"/>
                  </w:rPr>
                  <w:t xml:space="preserve">Защита «инвестор → холдинг»</w:t>
                </w:r>
              </w:sdtContent>
            </w:sdt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договор с ОАЭ (1992)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через союз с Бельгией (BLEU) — с ОАЭ (2004), Саудовской Аравией (2001) и шире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Правовая система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английское право, высший арбитраж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гражданское право; высшая репутация для фондов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Членство в ЕС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нет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" w:cs="Roboto" w:eastAsia="Roboto" w:hAnsi="Roboto"/>
                <w:color w:val="0a0a0a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0a0a0a"/>
                <w:sz w:val="16"/>
                <w:szCs w:val="16"/>
                <w:rtl w:val="0"/>
              </w:rPr>
              <w:t xml:space="preserve">да</w:t>
            </w:r>
          </w:p>
        </w:tc>
      </w:tr>
    </w:tbl>
    <w:p w:rsidR="00000000" w:rsidDel="00000000" w:rsidP="00000000" w:rsidRDefault="00000000" w:rsidRPr="00000000" w14:paraId="000001C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различие решает в пользу Великобритании. </w:t>
      </w: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Распределение прибыли инвесторам.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Великобритания не удерживает налог на дивиденды ни при каком составе собственников — без проверки налоговых ставок страны получателя. При смешанном и пока не определённом составе инвесторов это даёт чистый 0% для каждого. В Люксембурге нулевая ставка возможна только если инвестор — компания, облагаемая налогом не менее 8%; иначе применяется договорная ставка.</w:t>
      </w:r>
    </w:p>
    <w:p w:rsidR="00000000" w:rsidDel="00000000" w:rsidP="00000000" w:rsidRDefault="00000000" w:rsidRPr="00000000" w14:paraId="000001C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i w:val="1"/>
          <w:iCs w:val="1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Защита инвестиции там, где сосредоточен риск.</w:t>
      </w:r>
      <w:sdt>
        <w:sdtPr>
          <w:id w:val="-1360310534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 Реальный политический и экспроприационный риск находится в Болгарии, где расположены операционная и продающая компании. Против Болгарии у британского холдинга есть действующий договор о защите инвестиций с прямым доступом к международному арбитражу, тогда как у люксембургского такой защиты в отношении стран ЕС нет. Линия «инвестор → холдинг», где у Люксембурга шире сеть договоров с Заливом, вторична: вероятность экспроприации со стороны самих Великобритании или Люксембурга крайне мала.</w:t>
          </w:r>
        </w:sdtContent>
      </w:sdt>
    </w:p>
    <w:p w:rsidR="00000000" w:rsidDel="00000000" w:rsidP="00000000" w:rsidRDefault="00000000" w:rsidRPr="00000000" w14:paraId="000001D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Британский холдинг легче и дешевле: один директор, налоговое резидентство. Люксембург требует совета из трёх директоров с большинством местных резидентов и местного администрирования — сложнее и дороже. В десятилетей перспективе экономия реальна.</w:t>
      </w:r>
    </w:p>
    <w:p w:rsidR="00000000" w:rsidDel="00000000" w:rsidP="00000000" w:rsidRDefault="00000000" w:rsidRPr="00000000" w14:paraId="000001D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i w:val="1"/>
          <w:iCs w:val="1"/>
          <w:color w:val="0a0a0a"/>
          <w:rtl w:val="0"/>
        </w:rPr>
        <w:t xml:space="preserve">Выход из проекта.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юрисдикции; на уровне инвестора британский холдинг чище (нет ограничений при продаже в первые шесть месяцев).</w:t>
      </w:r>
    </w:p>
    <w:p w:rsidR="00000000" w:rsidDel="00000000" w:rsidP="00000000" w:rsidRDefault="00000000" w:rsidRPr="00000000" w14:paraId="000001D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Где выигрывает Люксембург</w:t>
      </w:r>
      <w:sdt>
        <w:sdtPr>
          <w:id w:val="-564462089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a0a0a"/>
              <w:rtl w:val="0"/>
            </w:rPr>
            <w:t xml:space="preserve">. Наиболее широкое освобождение при выходе (включая пассивные участия), членство в ЕС (директивы работают напрямую), репутация для фондов и семейных офисов и более широкая сеть инвестиционных договоров со странами Залива на линии «инвестор → холдинг».</w:t>
          </w:r>
        </w:sdtContent>
      </w:sdt>
    </w:p>
    <w:p w:rsidR="00000000" w:rsidDel="00000000" w:rsidP="00000000" w:rsidRDefault="00000000" w:rsidRPr="00000000" w14:paraId="000001D4">
      <w:pPr>
        <w:spacing w:after="1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before="0" w:line="319.9992" w:lineRule="auto"/>
        <w:jc w:val="both"/>
        <w:rPr>
          <w:rFonts w:ascii="Roboto" w:cs="Roboto" w:eastAsia="Roboto" w:hAnsi="Roboto"/>
          <w:b w:val="0"/>
          <w:bCs w:val="0"/>
          <w:color w:val="6e6c68"/>
          <w:sz w:val="36"/>
          <w:szCs w:val="36"/>
        </w:rPr>
      </w:pPr>
      <w:bookmarkStart w:colFirst="0" w:colLast="0" w:name="_heading=h.64pw57gwooq6" w:id="5"/>
      <w:bookmarkEnd w:id="5"/>
      <w:r w:rsidDel="00000000" w:rsidR="00000000" w:rsidRPr="00000000">
        <w:rPr>
          <w:rFonts w:ascii="Arial" w:cs="Arial" w:eastAsia="Arial" w:hAnsi="Arial"/>
          <w:color w:val="142647"/>
          <w:sz w:val="22"/>
          <w:szCs w:val="22"/>
          <w:rtl w:val="0"/>
        </w:rPr>
        <w:t>2.8 Рекомендация по юрисдикции холдинга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xb4rf7szltpu" w:id="6"/>
      <w:bookmarkEnd w:id="6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С учётом всего изложенного выше рекомендуется холдинг в Великобритании.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a0a0a"/>
          <w:sz w:val="21"/>
          <w:szCs w:val="21"/>
          <w:rtl w:val="0"/>
        </w:rPr>
        <w:t xml:space="preserve">Налоговый результат у Великобритании и Люксембурга практически одинаков, поэтому выбор определяют детали — и по совокупности этих деталей Великобритания подходит проекту лучше.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before="200" w:line="319.9992" w:lineRule="auto"/>
        <w:jc w:val="both"/>
        <w:rPr>
          <w:rFonts w:ascii="Roboto" w:cs="Roboto" w:eastAsia="Roboto" w:hAnsi="Roboto"/>
          <w:color w:val="0a0a0a"/>
        </w:rPr>
      </w:pPr>
      <w:bookmarkStart w:colFirst="0" w:colLast="0" w:name="_heading=h.1w2ulg160y4o" w:id="7"/>
      <w:bookmarkEnd w:id="7"/>
      <w:r w:rsidDel="00000000" w:rsidR="00000000" w:rsidRPr="00000000">
        <w:rPr>
          <w:rFonts w:ascii="Roboto" w:cs="Roboto" w:eastAsia="Roboto" w:hAnsi="Roboto"/>
          <w:color w:val="0a0a0a"/>
          <w:sz w:val="21"/>
          <w:szCs w:val="21"/>
          <w:rtl w:val="0"/>
        </w:rPr>
        <w:t xml:space="preserve">Основания рекомендации: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Распределение прибыли инвесторам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0% при любом составе. Великобритания не удерживает налог на дивиденды независимо от того, кто инвестор; это устойчиво к смешанному и пока не определённому составу собственников, тогда как нулевая ставка в Люксембурге требует, чтобы инвестор был нормально облагаемой компанией (раздел 2.2).</w:t>
      </w:r>
    </w:p>
    <w:p w:rsidR="00000000" w:rsidDel="00000000" w:rsidP="00000000" w:rsidRDefault="00000000" w:rsidRPr="00000000" w14:paraId="000001D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Защита инвестиции там, где сосредоточен риск. 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>Реальный риск находится в Болгарии, и против неё у британского холдинга есть действующий договор о защите инвестиций с доступом к международному арбитражу; у люксембургского холдинга такой защиты в отношении стран ЕС нет (раздел 2.4).</w:t>
      </w:r>
    </w:p>
    <w:p w:rsidR="00000000" w:rsidDel="00000000" w:rsidP="00000000" w:rsidRDefault="00000000" w:rsidRPr="00000000" w14:paraId="000001D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Умеренная стоимость содержания.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Один директор в Великобритании против совета с большинством местных резидентов и местного администрирования в Люксембурге (раздел 2.5).</w:t>
      </w:r>
    </w:p>
    <w:p w:rsidR="00000000" w:rsidDel="00000000" w:rsidP="00000000" w:rsidRDefault="00000000" w:rsidRPr="00000000" w14:paraId="000001D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Чистый выход.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На уровне структуры освобождение дают обе юрисдикции, но на уровне инвестора британский холдинг чище (раздел 2.6).</w:t>
      </w:r>
    </w:p>
    <w:p w:rsidR="00000000" w:rsidDel="00000000" w:rsidP="00000000" w:rsidRDefault="00000000" w:rsidRPr="00000000" w14:paraId="000001D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Английское право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привычная и предсказуемая среда для международных инвесторов и оборонных партнёров.</w:t>
      </w:r>
    </w:p>
    <w:p w:rsidR="00000000" w:rsidDel="00000000" w:rsidP="00000000" w:rsidRDefault="00000000" w:rsidRPr="00000000" w14:paraId="000001D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br w:type="textWrapping"/>
        <w:t xml:space="preserve">Выбор между Великобританией и Люксембургом — это вопрос налоговой и правовой эффективности владения, допуск к оборонному активу прорабатывается отдельно в любом случае.</w:t>
      </w:r>
    </w:p>
    <w:p w:rsidR="00000000" w:rsidDel="00000000" w:rsidP="00000000" w:rsidRDefault="00000000" w:rsidRPr="00000000" w14:paraId="000001D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before="200" w:lineRule="auto"/>
        <w:jc w:val="both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Вывод.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Для настоящего проекта со смешанным составом инвесторов — рекомендуется Великобритания: она выигрывает на линиях, где сосредоточены реальный риск, налог инвестору и стоимость содержания. Люксембург остаётся равноценной альтернативой.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3. Производственная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Производство проходит два этапа: сначала PrincipalCo является организатором и управителем проекта, а непосредственно сборку ведёт действующий завод Aero Vodochody по заказу группы, затем группа может перейти к собственной сборке на базе PrincipalCo.</w:t>
      </w:r>
    </w:p>
    <w:p w:rsidR="00000000" w:rsidDel="00000000" w:rsidP="00000000" w:rsidRDefault="00000000" w:rsidRPr="00000000" w14:paraId="000001E1">
      <w:pPr>
        <w:spacing w:after="40" w:before="160" w:lineRule="auto"/>
        <w:jc w:val="both"/>
        <w:rPr/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3.1 Первый этап — производство по заказу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PrincipalCo является OEM: заказывает сборку, закупает компоненты (авионику IAI, двигатель) и владеет правами на самолёт и конструкторскую документацию. </w:t>
      </w:r>
    </w:p>
    <w:p w:rsidR="00000000" w:rsidDel="00000000" w:rsidP="00000000" w:rsidRDefault="00000000" w:rsidRPr="00000000" w14:paraId="000001E3">
      <w:pPr>
        <w:spacing w:after="1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За PrincipalCo закрепляются права на документацию, роль держателя сертификата типа / одобрения разработчика (DOA) — чтобы статус OEM и налоговая база оставались в Болгарии.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Фактическую с</w:t>
      </w:r>
      <w:r w:rsidDel="00000000" w:rsidR="00000000" w:rsidRPr="00000000">
        <w:rPr>
          <w:rtl w:val="0"/>
        </w:rPr>
        <w:t xml:space="preserve">борку выполняет Aero Vodochody (Чехия) — независимый завод с опытом производства самолётов данного класса; он выступает контрактным сборщиком. Это избавляет от необходимости на первом этапе строить собственный завод и опирается на готовую производственную базу и сертификацию Aero Vodochody. </w:t>
      </w:r>
    </w:p>
    <w:p w:rsidR="00000000" w:rsidDel="00000000" w:rsidP="00000000" w:rsidRDefault="00000000" w:rsidRPr="00000000" w14:paraId="000001E5">
      <w:pPr>
        <w:spacing w:after="100" w:lineRule="auto"/>
        <w:jc w:val="both"/>
        <w:rPr/>
      </w:pPr>
      <w:r w:rsidDel="00000000" w:rsidR="00000000" w:rsidRPr="00000000">
        <w:rPr>
          <w:rtl w:val="0"/>
        </w:rPr>
        <w:t xml:space="preserve"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</w:t>
      </w:r>
    </w:p>
    <w:p w:rsidR="00000000" w:rsidDel="00000000" w:rsidP="00000000" w:rsidRDefault="00000000" w:rsidRPr="00000000" w14:paraId="000001E6">
      <w:pPr>
        <w:spacing w:after="40" w:before="16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b w:val="1"/>
          <w:bCs w:val="1"/>
          <w:color w:val="142647"/>
          <w:rtl w:val="0"/>
        </w:rPr>
        <w:t xml:space="preserve">3.2 Второй этап — собственное производство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По мере роста объёмов у группы появляется смысл перейти от сборки по заказу к собственному заводу. Это требует капитальных вложений и времени, но даёт ряд преимуществ:</w:t>
      </w:r>
    </w:p>
    <w:p w:rsidR="00000000" w:rsidDel="00000000" w:rsidP="00000000" w:rsidRDefault="00000000" w:rsidRPr="00000000" w14:paraId="000001E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Полный контроль над производством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сроки, качество, загрузка, цепочки поставок не зависят от стороннего подрядчика.</w:t>
      </w:r>
    </w:p>
    <w:p w:rsidR="00000000" w:rsidDel="00000000" w:rsidP="00000000" w:rsidRDefault="00000000" w:rsidRPr="00000000" w14:paraId="000001E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Удержание производственной маржи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исчезает плата контрактному сборщику (Aero </w:t>
      </w:r>
      <w:r w:rsidDel="00000000" w:rsidR="00000000" w:rsidRPr="00000000">
        <w:rPr>
          <w:rtl w:val="0"/>
        </w:rPr>
        <w:t xml:space="preserve">Vodochody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), и вся производственная стоимость остаётся в группе.</w:t>
      </w:r>
    </w:p>
    <w:p w:rsidR="00000000" w:rsidDel="00000000" w:rsidP="00000000" w:rsidRDefault="00000000" w:rsidRPr="00000000" w14:paraId="000001E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Консолидация статуса OEM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собственная производственная база подкрепляет реальное присутствие и роль группы как производителя оригинального оборудования.</w:t>
      </w:r>
    </w:p>
    <w:p w:rsidR="00000000" w:rsidDel="00000000" w:rsidP="00000000" w:rsidRDefault="00000000" w:rsidRPr="00000000" w14:paraId="000001E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720" w:hanging="360"/>
        <w:jc w:val="both"/>
        <w:rPr/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Масштабируемость и локализация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возможность наращивать выпуск и при необходимости приближать производство к ключевым заказчикам.</w:t>
      </w:r>
    </w:p>
    <w:p w:rsidR="00000000" w:rsidDel="00000000" w:rsidP="00000000" w:rsidRDefault="00000000" w:rsidRPr="00000000" w14:paraId="000001E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Переход PrincipalCo с роли юридического на роль фактичского производителя не требует перестройки структуры владения: холдинг и обе операционных компании сохраняются, меняется лишь фактическое производственное звено. </w:t>
      </w:r>
    </w:p>
    <w:p w:rsidR="00000000" w:rsidDel="00000000" w:rsidP="00000000" w:rsidRDefault="00000000" w:rsidRPr="00000000" w14:paraId="000001E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Конкретная площадка выбирается по совокупности критериев: стоимость и доступность квалифицированных кадров, развитость авиапромышленной базы, государственные льготы, членство в НАТО и ЕС, экспортное регулирование, логистика и регуляторная предсказуемость. </w:t>
      </w:r>
    </w:p>
    <w:p w:rsidR="00000000" w:rsidDel="00000000" w:rsidP="00000000" w:rsidRDefault="00000000" w:rsidRPr="00000000" w14:paraId="000001E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Среди стран ЕС рассматриваются два финалиста:</w:t>
      </w:r>
    </w:p>
    <w:p w:rsidR="00000000" w:rsidDel="00000000" w:rsidP="00000000" w:rsidRDefault="00000000" w:rsidRPr="00000000" w14:paraId="000001F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Болгария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наиболее простой и дешёвый вариант. Производство размещается в той же юрисдикции, что операционная и продающая компании: единая структура без новой страны, низкая ставка налога (10%) и дешёвая рабочая сила в ЕС, отсутствие необходимости проходить новый раунд скрининга и лицензирования в ещё одном государстве. Минус — относительно тонкая авиапромышленная база и дефицит профильных аэрокосмических кадров, который будет частично покрыт с помощью релокации квалифицированных кадров.</w:t>
      </w:r>
    </w:p>
    <w:p w:rsidR="00000000" w:rsidDel="00000000" w:rsidP="00000000" w:rsidRDefault="00000000" w:rsidRPr="00000000" w14:paraId="000001F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720" w:hanging="36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Польша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— вариант под промышленную мощность. Здесь развитая авиационная промышленность и сложившийся авиакластер, квалифицированные кадры и государственные льготы для крупных инвестиций, членство в НАТО и ЕС. Минусы — более высокая ставка налога (19%), более дорогой труд и добавление новой юрисдикции в структуру (отдельный FDI-скрининг и оформление).</w:t>
      </w:r>
    </w:p>
    <w:p w:rsidR="00000000" w:rsidDel="00000000" w:rsidP="00000000" w:rsidRDefault="00000000" w:rsidRPr="00000000" w14:paraId="000001F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0a0a0a"/>
          <w:rtl w:val="0"/>
        </w:rPr>
        <w:t xml:space="preserve">Логика выбора: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 Болгария выигрывает по простоте структуры, налоговой нагрузке и издержкам; Польша — по промышленной базе и доступности профильных инженеров и рабочих. Решение принимается на этом этапе, исходя из достигнутых объёмов, договорённостей с партнёрами. </w:t>
      </w:r>
    </w:p>
    <w:p w:rsidR="00000000" w:rsidDel="00000000" w:rsidP="00000000" w:rsidRDefault="00000000" w:rsidRPr="00000000" w14:paraId="000001F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0" w:lineRule="auto"/>
        <w:ind w:left="0" w:firstLine="0"/>
        <w:jc w:val="both"/>
        <w:rPr>
          <w:rFonts w:ascii="Roboto" w:cs="Roboto" w:eastAsia="Roboto" w:hAnsi="Roboto"/>
          <w:color w:val="0a0a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spacing w:after="200" w:lineRule="auto"/>
        <w:ind w:left="0" w:firstLine="0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3.3 Сравнение юрисдикций производственной компании</w:t>
      </w:r>
      <w:r w:rsidDel="00000000" w:rsidR="00000000" w:rsidRPr="00000000">
        <w:rPr>
          <w:rtl w:val="0"/>
        </w:rPr>
      </w:r>
    </w:p>
    <w:tbl>
      <w:tblPr>
        <w:tblStyle w:val="Table11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50"/>
        <w:gridCol w:w="840"/>
        <w:gridCol w:w="960"/>
        <w:gridCol w:w="1050"/>
        <w:gridCol w:w="5850"/>
        <w:tblGridChange w:id="0">
          <w:tblGrid>
            <w:gridCol w:w="1050"/>
            <w:gridCol w:w="840"/>
            <w:gridCol w:w="960"/>
            <w:gridCol w:w="1050"/>
            <w:gridCol w:w="5850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1F5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Страна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6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7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Труд, €/ч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8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Авиапром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1F9">
            <w:pPr>
              <w:spacing w:after="200" w:before="20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10,6</w:t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Низкий налог, дешёвая рабочая сила в ЕС; член НАТО и ЕС, логистика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12,5</w:t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Низкие издержки, есть авиапредприятия;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Развитый авиапром и льготы для инвестиций;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10–24%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16</w:t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</w:t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Ставка 24% (при выручке свыше 5 млн €); член НАТО и ЕС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/>
          <w:p w:rsidR="00000000" w:rsidDel="00000000" w:rsidP="00000000" w:rsidRDefault="00000000" w:rsidRPr="00000000" w14:paraId="00000210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18</w:t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сильный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20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Лидер в классе; место сборки на первом этапе; член НАТО и ЕС</w:t>
            </w:r>
          </w:p>
        </w:tc>
      </w:tr>
    </w:tbl>
    <w:p w:rsidR="00000000" w:rsidDel="00000000" w:rsidP="00000000" w:rsidRDefault="00000000" w:rsidRPr="00000000" w14:paraId="0000021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dfdfc" w:val="clear"/>
        <w:jc w:val="both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3.4 Почему мы не рассматриваем Венгрию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Венгрия не рассматривается</w:t>
      </w:r>
      <w:r w:rsidDel="00000000" w:rsidR="00000000" w:rsidRPr="00000000">
        <w:rPr>
          <w:rFonts w:ascii="Roboto" w:cs="Roboto" w:eastAsia="Roboto" w:hAnsi="Roboto"/>
          <w:color w:val="0a0a0a"/>
          <w:rtl w:val="0"/>
        </w:rPr>
        <w:t xml:space="preserve">, потому что Украина и рынок сбыта самолетов, и поставщик двигателя. Венгрия проводит наиболее ограничительную в ЕС политику в отношении военного экспорта и транзита в адрес Украины: правительство систематически блокирует военную помощь Украине и ограничивает транзит вооружений через свою территорию. Если разместить в Венгрии производство и/или держателя экспортной лицензии, возникает реальный риск со стороны венгерских органов лицензирования и экспортного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20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Что касается налогов. Несмотря на формальные 9%, они дополняются местным налогом с оборота (HIPA, до 2%), из-за чего фактическая нагрузка сопоставима с болгарскими плоскими 10% или выше — преимущества перед Болгарией не возникает.  </w:t>
      </w:r>
    </w:p>
    <w:p w:rsidR="00000000" w:rsidDel="00000000" w:rsidP="00000000" w:rsidRDefault="00000000" w:rsidRPr="00000000" w14:paraId="00000217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jc w:val="both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Fonts w:ascii="Roboto" w:cs="Roboto" w:eastAsia="Roboto" w:hAnsi="Roboto"/>
          <w:color w:val="0a0a0a"/>
          <w:shd w:fill="fdfdfc" w:val="clear"/>
          <w:rtl w:val="0"/>
        </w:rPr>
        <w:t xml:space="preserve">Кроме того, в Венгрии нет действующего производителя самолётов этого класса, сопоставимого с чешской Aero Vodochody, а профильные кадры, цепочка поставок и опыт сертификации боевых машин менее развиты, чем в Чехии, Польше или Румынии. Для первого этапа естественна сборка у Aero Vodochody (Чехия), для второго — собственный завод в Болгарии (или Польше). </w:t>
      </w:r>
    </w:p>
    <w:p w:rsidR="00000000" w:rsidDel="00000000" w:rsidP="00000000" w:rsidRDefault="00000000" w:rsidRPr="00000000" w14:paraId="00000218">
      <w:pPr>
        <w:pBdr>
          <w:top w:color="auto" w:space="0" w:sz="0" w:val="none"/>
          <w:left w:color="auto" w:space="0" w:sz="0" w:val="none"/>
          <w:bottom w:color="142647" w:space="0" w:sz="6" w:val="single"/>
          <w:right w:color="auto" w:space="0" w:sz="0" w:val="none"/>
          <w:between w:color="auto" w:space="0" w:sz="0" w:val="none"/>
        </w:pBdr>
        <w:shd w:fill="fdfdfc" w:val="clear"/>
        <w:spacing w:after="0" w:lineRule="auto"/>
        <w:rPr>
          <w:rFonts w:ascii="Roboto" w:cs="Roboto" w:eastAsia="Roboto" w:hAnsi="Roboto"/>
          <w:color w:val="0a0a0a"/>
          <w:shd w:fill="fdfdf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4. Продающая компания. Критерии выбора юрисдикции.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00" w:lineRule="auto"/>
        <w:jc w:val="both"/>
        <w:rPr/>
      </w:pPr>
      <w:r w:rsidDel="00000000" w:rsidR="00000000" w:rsidRPr="00000000">
        <w:rPr>
          <w:sz w:val="21"/>
          <w:szCs w:val="21"/>
          <w:rtl w:val="0"/>
        </w:rPr>
        <w:t xml:space="preserve">Продажа боевых самолётов требует военно-экспортной лицензии страны продавца и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40" w:before="160" w:lineRule="auto"/>
        <w:rPr>
          <w:b w:val="1"/>
          <w:bCs w:val="1"/>
          <w:color w:val="142647"/>
          <w:sz w:val="22"/>
          <w:szCs w:val="22"/>
        </w:rPr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4.1 Сравнение юрисдикций</w:t>
      </w:r>
    </w:p>
    <w:tbl>
      <w:tblPr>
        <w:tblStyle w:val="Table12"/>
        <w:tblW w:w="9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1215"/>
        <w:gridCol w:w="4590"/>
        <w:gridCol w:w="2550"/>
        <w:tblGridChange w:id="0">
          <w:tblGrid>
            <w:gridCol w:w="1380"/>
            <w:gridCol w:w="1215"/>
            <w:gridCol w:w="4590"/>
            <w:gridCol w:w="255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Страна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Налог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Режим контроля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Масштаб экспорта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Чехия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Польша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19%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крупный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Румыния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средний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Словакия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21–24%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полноценный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0" w:line="240" w:lineRule="auto"/>
              <w:ind w:left="0" w:right="0" w:firstLine="0"/>
              <w:jc w:val="both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небольшой</w:t>
            </w:r>
          </w:p>
        </w:tc>
      </w:tr>
    </w:tbl>
    <w:p w:rsidR="00000000" w:rsidDel="00000000" w:rsidP="00000000" w:rsidRDefault="00000000" w:rsidRPr="00000000" w14:paraId="0000023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Продающую компанию рекомендуется разместить в Болгарии — там же, где операционную: одна из самых низких ставок, полноценный военно-экспортный режим, передача прибыли без потерь. Производственную и продающую функции целесообразно разделить на две болгарские компании. Размещение лицензии в Болгарии не отменяет того, что при сборке и отгрузке из Чехии применяются чешские экспортные правила и согласие (раздел 7.6).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  <w:t xml:space="preserve">_________________________</w:t>
      </w:r>
      <w:r w:rsidDel="00000000" w:rsidR="00000000" w:rsidRPr="00000000">
        <w:rPr>
          <w:color w:val="142647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239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00" w:lineRule="auto"/>
        <w:jc w:val="both"/>
        <w:rPr>
          <w:color w:val="14264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5. Движение прибыли и налоговая нагрузка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5.1 Почему Болгария для операционной и продающей компаний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Болгария для операционной и продающей компаний выбрана по совокупности критериев (раздел 3). Помимо налоговой ставки 10%, в её пользу говорят операционные факторы: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Стоимость рабочей силы — самая низкая в Европейском союзе, что снижает издержки операционной и продающей компаний.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Невысокая стоимость организации и содержания производства и присутствия (офис, персонал, управление) по сравнению с большинством стран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Логистическая близость к ключевым поставщикам: сборка в Чехии, двигатель из Украины, авионика из Израиля — Болгария удобно расположена относительно этих маршрутов и рынков региона.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Полноценный военно-экспортный режим члена НАТО и ЕС и предсказуемое регулирование.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5.2 Международный минимальный налог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Базовая ставка — 10%. Правила международного минимального налога (Pillar Two — 15% для крупных групп)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5.3 Налоговая нагрузка по шагам</w:t>
      </w:r>
      <w:r w:rsidDel="00000000" w:rsidR="00000000" w:rsidRPr="00000000">
        <w:rPr>
          <w:rtl w:val="0"/>
        </w:rPr>
      </w:r>
    </w:p>
    <w:tbl>
      <w:tblPr>
        <w:tblStyle w:val="Table14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Шаг движения прибыли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Налог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Комментарий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на прибыль операционной компании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из самых низких в ЕС; при достижении порога выручки возможна корректировка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прибыли из Болгарии в холдинг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rPr/>
            </w:pPr>
            <w:sdt>
              <w:sdtPr>
                <w:id w:val="2065681518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По налоговому соглашению с Великобританией (доля ≥10%, не менее года)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Выплата дивидендов инвесторам из холдинга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 не удерживает налог на дивиденды ни при каком составе собственников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Продажа долей инвесторами (выход)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ноль*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*На уровне структуры. Налог в стране проживания инвестора — отдельно (раздел 8)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5.4 Иллюстрация: путь 1 млн € прибыли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807339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8073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Совокупная налоговая нагрузка составляет 10% и формируется только болгарским налогом на прибыль. Налог в стране проживания инвестора в иллюстрации не учтён.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>Для сравнения — сколько из того же миллиона операционной прибыли дошло бы до инвестора при размещении операционной компании в разных странах НАТО и ЕС (далее — без потерь наверх и инвестору):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775744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757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5.5 Правовая основа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Выводы опираются на конкретные нормы: освобождение дивидендов между компаниями ЕС — Директива Совета 2011/96/ЕС; ноль при передаче из Болгарии в Великобританию — ст. 10 налогового соглашения 2015 года; освобождение дивидендов в Великобритании — ч. 9A Закона о корпоративном налоге 2009 года; освобождение при продаже долей — прил. 7AC к Закону 1992 года; Люксембург — ст. 147 и 166; международный минимальный налог — Директива 2022/2523. Полный перечень — в приложении.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bottom w:color="142647" w:space="2" w:sz="6" w:val="single"/>
        </w:pBdr>
        <w:spacing w:before="200" w:lineRule="auto"/>
        <w:rPr>
          <w:b w:val="1"/>
          <w:bCs w:val="1"/>
          <w:color w:val="142647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6. Две модели владения правами на разработку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Под правами на разработку понимаются конструкторская документация, права на самолёт и патенты. Основной считается первая модель.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6.1 Модель 1 — права у операционной компании (рекомендуется)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Права принадлежат болгарской операционной компании. Прибыль облагается в Болгарии по 10%, поднимается в холдинг дивидендами без удержания и распределяется инвесторам. Лицензионные платежи не возникают.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Простота: нет лицензий, роялти и сложного учёта; меньше поводов для спора с налоговыми органами.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Согласованность: права и производство в одной компании, что отвечает международным правилам.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Надёжность: модель работает независимо от патентоспособности и участия подрядчиков в капитале.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6.2 Модель 2 — права у холдинга (потенциальная оптимизация)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Холдинг владеет правами, лицензирует их операционной компании и получает роялти. При льготном режиме для доходов от интеллектуальной собственности (IP-box) роялти облагаются по пониженной ставке: Люксембург — около 5,2% (только патенты и защищённое ПО), Нидерланды — около 9%, Великобритания и Ирландия — 10%. Применимость зависит от патентоспособности и независимости подрядчиков; для авиапроектов чаще работает только Модель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7. Риски и условия, от которых зависит результат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7.1 Деловая цель структуры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Налоговые льготы сохраняются только при наличии у структуры реальной деловой цели. У каждого элемента есть самостоятельное обоснование: холдинг объединяет инвесторов и обеспечивает управление и выход; операционная компания несёт реальные функции; продающая компания держит лицензию; сборка в Чехии использует сертифицированный завод; выбор Болгарии обусловлен не только ставкой.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7.2 Реальное присутствие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Нулевые и пониженные ставки действуют только при реальном присутствии: управлении, персонале, офисе и принятии решений по месту регистрации. Это требует расходов на содержание, которые следует заложить в бюджет.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7.3 Экономика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Финансовые показатели приведены в части I и отражают оценку инициаторов; они построены на коммерческих допущениях (цена, себестоимость, объёмы сбыта), которые инвестору следует подтвердить. Налоговые выводы применимы при любом уровне прибыли.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7.4 Экспортный контроль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Экспорт боевых самолётов зависит от государственных лицензий, которые выдаются по усмотрению властей; круг покупателей ограничен. Отдельного внимания требует авионика IAI: она подпадает под израильский экспортный контроль, поэтому при её установке и реэкспорте необходимы разрешения и сертификат конечного пользователя.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7.5 Допуск иностранных собственников к оборонному активу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Прямого запрета на участие иностранных, в том числе ближневосточных, инвесторов в оборонных авиапроектах НАТО и ЕС не существует. Практика это подтверждает: суверенный фонд Абу-Даби Mubadala несколько лет владел итальянским Piaggio Aerospace; EDGE (ОАЭ) инвестирует в Польше, Эстонии и Швейцарии; Aero Vodochody — в частном владении. Вопрос не в запрете, а в условиях допуска.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Эти условия задаёт проверка иностранных инвестиций (в ЕС — Регламент 2019/452). В нашей структуре она затрагивает прежде всего Болгарию.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sdt>
        <w:sdtPr>
          <w:id w:val="-1933813876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1c1c1c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Болгария — основная страна проверки. Режим введён поправками в Закон о поощрении инвестиций (в силе с 12.03.2024; правила — с 22.07.2025); порог — доля ≥10% или инвестиция &gt;2 млн €. Для инвестора с участием госоргана вне ЕС проверка обязательна; совет выносит решение в срок до 45 рабочих дней.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Чехия — проверка владения не возникает: завод Aero Vodochody группа не покупает, лишь размещает заказ.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Польша — значима только если завод второго этапа разместить в Польше.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Согласование иностранного владения — плановый этап запуска, а не препятствие. Чтобы пройти его уверенно, применяют отработанную в оборонной практике схему разделения экономического участия и контроля (в США — режим FOCI):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Инвесторы вне НАТО получают экономическое участие, но не контроль; для этого вводятся акции с ограниченным правом голоса.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Контроль над компанией-лицензиатом закрепляется за лицами из стран НАТО и ЕС: специальный класс акций, право вето, директора с допуском, соглашение о безопасности.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Предварительная консультация с болгарским регулятором проводится в начале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80" w:before="8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048000" cy="1568756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5687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5f5f5f"/>
          <w:sz w:val="16"/>
          <w:szCs w:val="16"/>
          <w:rtl w:val="0"/>
        </w:rPr>
        <w:t xml:space="preserve">Разделение экономического участия и контроля: прибыль получают все инвесторы, а управление компанией-лицензиатом остаётся за лицами из стран НАТО и 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7.6 В какой стране оформляется экспортная лицензия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Размещение лицензии в болгарской компании не решает вопрос автоматически. По Директиве 2009/43/ЕС (ст. 10) при экспорте товара за пределы ЕС получатель обязан соблюсти экспортные ограничения страны происхождения и при необходимости получить её согласие. Поскольку самолёт собирается в Чехии, чешские правила применяются и при продаже через Болгарию. Порядок лицензирования согласуется с чешским и болгарским регуляторами.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7.7 Коммерческие допущения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Структура первого этапа предполагает согласие завода Aero Vodochody на сборку по заказу группы и исполнение обязательств ключевыми поставщиками; эти договорённости должны быть закреплены договорами.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8. Границы меморандума</w:t>
      </w:r>
      <w:r w:rsidDel="00000000" w:rsidR="00000000" w:rsidRPr="00000000">
        <w:rPr>
          <w:rtl w:val="0"/>
        </w:rPr>
      </w:r>
    </w:p>
    <w:tbl>
      <w:tblPr>
        <w:tblStyle w:val="Table15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охватывает меморандум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Что требует отдельной проработки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Выбор юрисдикций для холдинга, операционной и продающей компаний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Независимая проверка финансовой модели и коммерческих допущений (часть 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Движение прибыли и налог у источника на уровне структуры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 инвестора в стране его проживания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Налогообложение инвесторов при распределении и выходе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прав инвесторов: акционерное соглашение, права меньшинства, выход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Принципиальная допустимость структуры поставок (раздел 7.6)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Допуск иностранных собственников к оборонному активу (раздел 7.5)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Корпоративный налог, дивиденды, роялти, прирост капитала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Прочие налоги (НДС, удержания по услугам), стоимость присутствия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i w:val="1"/>
          <w:iCs w:val="1"/>
          <w:color w:val="5f5f5f"/>
          <w:sz w:val="17"/>
          <w:szCs w:val="17"/>
          <w:rtl w:val="0"/>
        </w:rPr>
        <w:t xml:space="preserve">Настоящий меморандум подготовлен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год; отдельные параметры подлежат подтверждению местными консультантами при внедрении структуры.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9. Акционерное соглашение: ключевые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Раздел задаёт каркас отношений между инвесторами и инициаторами на уровне холдинга. Это перечень ключевых условий для последующей детальной проработки юристами.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9.1 Стороны и капитал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Стороны — инвесторы и инициаторы проекта как акционеры британского холдинга.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 необходимости вводятся разные классы акций — чтобы отделить экономическое участие от права контроля.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Средства вносятся траншами по мере достижения этапов проекта.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9.2 Управление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Совет директоров: представители инвесторов и инициаторов и независимый директор; для оборонных и экспортных решений — директор из стран НАТО и ЕС с допуском к гостайне.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Квалифицированное большинство / вето по важнейшим вопросам: бюджет и крупные вложения, займы, эмиссия, сделки со связанными сторонами, передача прав на разработку, смена контроля, выбор экспортных рынков, M&amp;A, ликвидация.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За операционную реализацию отвечают инициаторы; предусматриваются удержание ключевых лиц и постепенное закрепление их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9.3 Защита миноритарных инвесторов и переход долей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Право на информацию, защита от размывания, право присоединиться к продаже на равных условиях.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Ограничения на отчуждение: запрет продажи на срок, право первоочередного выкупа.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Любая передача доли — только при прохождении проверки иностранных инвестиций и сохранении допуска к лицензии.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9.4 Выход и разрешение тупиковых ситуаций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Выход — публичное размещение или продажа стратегу; при квалифицированном большинстве миноритарии присоединяются к продаже.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Тупики разрешаются через эскалацию, посредничество и опционы выкупа долей.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40" w:before="160" w:lineRule="auto"/>
        <w:rPr/>
      </w:pPr>
      <w:r w:rsidDel="00000000" w:rsidR="00000000" w:rsidRPr="00000000">
        <w:rPr>
          <w:b w:val="1"/>
          <w:bCs w:val="1"/>
          <w:color w:val="142647"/>
          <w:sz w:val="22"/>
          <w:szCs w:val="22"/>
          <w:rtl w:val="0"/>
        </w:rPr>
        <w:t xml:space="preserve">9.5 Применимое право и предварительные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Применимое право — английское; споры — международный арбитраж.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Ковенанты по экспортному контролю и санкциям; прозрачность бенефициарного владения.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c1c1c"/>
          <w:sz w:val="20"/>
          <w:szCs w:val="20"/>
          <w:u w:val="none"/>
          <w:shd w:fill="auto" w:val="clear"/>
          <w:vertAlign w:val="baseline"/>
          <w:rtl w:val="0"/>
        </w:rPr>
        <w:t xml:space="preserve">Условия закрытия: разрешение болгарского регулятора, согласованный порядок экспортного лицензирования, договоры с Aero Vodochody, IAI и поставщиками двигателя.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bottom w:color="142647" w:space="2" w:sz="6" w:val="single"/>
        </w:pBdr>
        <w:spacing w:before="200" w:lineRule="auto"/>
        <w:rPr/>
      </w:pPr>
      <w:r w:rsidDel="00000000" w:rsidR="00000000" w:rsidRPr="00000000">
        <w:rPr>
          <w:b w:val="1"/>
          <w:bCs w:val="1"/>
          <w:color w:val="142647"/>
          <w:sz w:val="30"/>
          <w:szCs w:val="30"/>
          <w:rtl w:val="0"/>
        </w:rPr>
        <w:t xml:space="preserve">Приложение. Правовые источники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Первичные правовые акты с указанием статей; сверены по официальным текстам и подлежат подтверждению местными юристами.</w:t>
      </w:r>
      <w:r w:rsidDel="00000000" w:rsidR="00000000" w:rsidRPr="00000000">
        <w:rPr>
          <w:rtl w:val="0"/>
        </w:rPr>
      </w:r>
    </w:p>
    <w:tbl>
      <w:tblPr>
        <w:tblStyle w:val="Table16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142647" w:val="clea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Вопрос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42647" w:val="clea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дивидендов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2011/96/ЕС от 30.11.2011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Освобождение роялти между компаниями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2003/49/ЕС: ст. 3 (порог 25%), ст. 1(10) (срок до 2 лет)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Международный минимальный налог (15%)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Совета (ЕС) 2022/2523 от 14.12.2022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rPr/>
            </w:pPr>
            <w:sdt>
              <w:sdtPr>
                <w:id w:val="1800721114"/>
                <w:tag w:val="goog_rdk_3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Болгария → Великобритания, дивиденды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Соглашение 2015 года (SI 2015/1891),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дивидендов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налоге 2009 года, часть 9A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Великобритания: освобождение при продаже долей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налоге на прирост капитала 1992 года, приложение 7AC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Люксембург: освобождение участия / удержание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подоходном налоге (LIR), статьи 166 и 147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Болгария: налог на прибыль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корпоративном подоходном налоге, статья 20 — 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(ЕС)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Регламент (ЕС) 2019/452 от 19.03.2019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(Болгария)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о поощрении инвестиций (в силе с 12.03.2024; правила — 22.07.2025)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Проверка иностранных инвестиций (Чехия)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Закон № 34/2021 Coll. (в силе с 01.05.2021)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Передача оборонной продукции внутри ЕС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Директива 2009/43/ЕС, статья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Защита инвестиций (примеры договоров)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sdt>
              <w:sdtPr>
                <w:id w:val="-29390851"/>
                <w:tag w:val="goog_rdk_3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17"/>
                    <w:szCs w:val="17"/>
                    <w:rtl w:val="0"/>
                  </w:rPr>
                  <w:t xml:space="preserve">Великобритания—Болгария (1995), —Чехия (1990); инвестор→холдинг: UK—ОАЭ (1992), BLEU—ОАЭ (2004), —Саудовская Аравия (2001)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3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footerReference r:id="rId14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Nova Mono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1c1c1c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color w:val="5f5f5f"/>
        <w:sz w:val="15"/>
        <w:szCs w:val="15"/>
        <w:rtl w:val="0"/>
      </w:rPr>
      <w:t xml:space="preserve">М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f5f5f"/>
        <w:sz w:val="15"/>
        <w:szCs w:val="15"/>
        <w:u w:val="none"/>
        <w:shd w:fill="auto" w:val="clear"/>
        <w:vertAlign w:val="baseline"/>
        <w:rtl w:val="0"/>
      </w:rPr>
      <w:t xml:space="preserve">еморандум · проект STRIKER · конфиденциально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a0a0a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c1c1c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/>
    </w:tblPr>
    <w:tcPr>
      <w:shd w:fill="fdfdfc" w:val="clear"/>
    </w:tc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fGPSEF/Ae6BZdK1c5cfEYggC1g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