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color w:val="142647"/>
          <w:sz w:val="26"/>
        </w:rPr>
        <w:t>ИНВЕСТИЦИОННЫЙ МЕМОРАНДУМ</w:t>
      </w:r>
    </w:p>
    <w:p>
      <w:pPr>
        <w:jc w:val="center"/>
      </w:pPr>
      <w:r>
        <w:rPr>
          <w:b w:val="0"/>
          <w:i w:val="0"/>
          <w:color w:val="5F5F5F"/>
          <w:sz w:val="20"/>
        </w:rPr>
        <w:t>КОНФИДЕНЦИАЛЬНО · Проект F/A-259U</w:t>
      </w:r>
    </w:p>
    <w:p/>
    <w:p>
      <w:pPr>
        <w:jc w:val="center"/>
      </w:pPr>
      <w:r>
        <w:rPr>
          <w:b/>
          <w:i w:val="0"/>
          <w:color w:val="142647"/>
          <w:sz w:val="68"/>
        </w:rPr>
        <w:t>«STRIKER»</w:t>
      </w:r>
    </w:p>
    <w:p>
      <w:pPr>
        <w:jc w:val="center"/>
      </w:pPr>
      <w:r>
        <w:rPr>
          <w:b w:val="0"/>
          <w:i w:val="0"/>
          <w:color w:val="142647"/>
          <w:sz w:val="24"/>
        </w:rPr>
        <w:t>Производство и поставка лёгкого многоцелевого боевого и учебно-боевого самолёта — проект, экономика и структура</w:t>
      </w:r>
    </w:p>
    <w:p>
      <w:pPr>
        <w:jc w:val="center"/>
      </w:pPr>
      <w:r>
        <w:rPr>
          <w:b w:val="0"/>
          <w:i w:val="0"/>
          <w:color w:val="5F5F5F"/>
          <w:sz w:val="22"/>
        </w:rPr>
        <w:t>Стоимость проекта около 420 млн долларов США</w:t>
      </w:r>
    </w:p>
    <w:p/>
    <w:p>
      <w:pPr>
        <w:jc w:val="center"/>
      </w:pPr>
      <w:r>
        <w:rPr>
          <w:b w:val="0"/>
          <w:i w:val="0"/>
          <w:color w:val="5F5F5F"/>
          <w:sz w:val="18"/>
        </w:rPr>
        <w:t>2026 · Правовые выводы проверены по текстам действующих законов и международных соглашений</w:t>
      </w:r>
    </w:p>
    <w:p>
      <w:r>
        <w:br w:type="page"/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Резюме</w:t>
      </w:r>
    </w:p>
    <w:p>
      <w:pPr>
        <w:spacing w:after="100"/>
      </w:pPr>
      <w:r>
        <w:rPr>
          <w:sz w:val="21"/>
        </w:rPr>
        <w:t>Проект STRIKER — серийное производство и поставка лёгкого многоцелевого боевого и учебно-боевого самолёта F/A-259U. Самолёт построен на проверенной сертифицированной платформе чешского производителя Aero Vodochody, оснащён новым крылом, современной авионикой и двигателем. Он ориентирован на растущий мировой спрос на доступные боевые и учебно-боевые машины и на оборонное сотрудничество в рамках НАТО и ЕС; производство — в странах ЕС.</w:t>
      </w:r>
    </w:p>
    <w:p>
      <w:pPr>
        <w:spacing w:before="160" w:after="40"/>
      </w:pPr>
      <w:r>
        <w:rPr>
          <w:b/>
          <w:color w:val="142647"/>
          <w:sz w:val="22"/>
        </w:rPr>
        <w:t>Экономика проекта</w:t>
      </w:r>
    </w:p>
    <w:p>
      <w:pPr>
        <w:pStyle w:val="ListBullet"/>
        <w:spacing w:after="60"/>
      </w:pPr>
      <w:r>
        <w:rPr>
          <w:sz w:val="20"/>
        </w:rPr>
        <w:t>Стоимость проекта — около 420 млн долларов США, вкладывается поэтапно в течение трёх лет.</w:t>
      </w:r>
    </w:p>
    <w:p>
      <w:pPr>
        <w:pStyle w:val="ListBullet"/>
        <w:spacing w:after="60"/>
      </w:pPr>
      <w:r>
        <w:rPr>
          <w:sz w:val="20"/>
        </w:rPr>
        <w:t>Серийный выпуск — до 48 самолётов в год, всего не менее 300 машин. Цена самолёта — 25 млн долларов, чистая прибыль — не менее 3 млн долларов на самолёт.</w:t>
      </w:r>
    </w:p>
    <w:p>
      <w:pPr>
        <w:pStyle w:val="ListBullet"/>
        <w:spacing w:after="60"/>
      </w:pPr>
      <w:r>
        <w:rPr>
          <w:sz w:val="20"/>
        </w:rPr>
        <w:t>Совокупная чистая прибыль проекта на серийной фазе — не менее 900 млн долларов; ориентировочная окупаемость — около восьмого года с начала финансирования.</w:t>
      </w:r>
    </w:p>
    <w:p>
      <w:pPr>
        <w:spacing w:before="160" w:after="40"/>
      </w:pPr>
      <w:r>
        <w:rPr>
          <w:b/>
          <w:color w:val="142647"/>
          <w:sz w:val="22"/>
        </w:rPr>
        <w:t>Структура владения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705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0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Инвесторы владеют проектом через холдинг в Великобритании; тот владеет двумя болгарскими компаниями (производство и продажи). На первом этапе сборку выполняет независимый чешский завод Aero Vodochody.</w:t>
      </w:r>
    </w:p>
    <w:p>
      <w:pPr>
        <w:spacing w:before="160" w:after="40"/>
      </w:pPr>
      <w:r>
        <w:rPr>
          <w:b/>
          <w:color w:val="142647"/>
          <w:sz w:val="22"/>
        </w:rPr>
        <w:t>Налоговый результат</w:t>
      </w:r>
    </w:p>
    <w:p>
      <w:pPr>
        <w:spacing w:after="100"/>
      </w:pPr>
      <w:r>
        <w:rPr>
          <w:sz w:val="21"/>
        </w:rPr>
        <w:t>Прибыль облагается налогом только один раз — в Болгарии по ставке 10%, одной из самых низких в Европейском союзе. При передаче прибыли вверх в холдинг и далее инвесторам налог у источника не возникает. В результате из каждого миллиона евро операционной прибыли до инвестора доходит около 900 тысяч евро.</w:t>
      </w:r>
    </w:p>
    <w:p>
      <w:pPr>
        <w:spacing w:before="160" w:after="40"/>
      </w:pPr>
      <w:r>
        <w:rPr>
          <w:b/>
          <w:color w:val="142647"/>
          <w:sz w:val="22"/>
        </w:rPr>
        <w:t>Регуляторные шаги на старте проекта</w:t>
      </w:r>
    </w:p>
    <w:p>
      <w:pPr>
        <w:spacing w:after="100"/>
      </w:pPr>
      <w:r>
        <w:rPr>
          <w:sz w:val="21"/>
        </w:rPr>
        <w:t>Структура реализуема: иностранное владение оборонными авиапроизводителями в НАТО и ЕС допускается, что подтверждается прецедентами (раздел 7.5). Получение необходимых согласований — плановый первый этап запуска болгарских компаний:</w:t>
      </w:r>
    </w:p>
    <w:p>
      <w:pPr>
        <w:pStyle w:val="ListBullet"/>
        <w:spacing w:after="60"/>
      </w:pPr>
      <w:r>
        <w:rPr>
          <w:sz w:val="20"/>
        </w:rPr>
        <w:t>Согласование иностранного владения с болгарским регулятором — один из первых шагов при учреждении операционной и продающей компаний.</w:t>
      </w:r>
    </w:p>
    <w:p>
      <w:pPr>
        <w:pStyle w:val="ListBullet"/>
        <w:spacing w:after="60"/>
      </w:pPr>
      <w:r>
        <w:rPr>
          <w:sz w:val="20"/>
        </w:rPr>
        <w:t>Оформление военно-экспортной лицензии и порядка экспорта с учётом сборки в Чехии (раздел 7.6).</w:t>
      </w:r>
    </w:p>
    <w:p>
      <w:pPr>
        <w:pStyle w:val="ListBullet"/>
        <w:spacing w:after="60"/>
      </w:pPr>
      <w:r>
        <w:rPr>
          <w:sz w:val="20"/>
        </w:rPr>
        <w:t>Закрепление контроля над компанией-лицензиатом за лицами из стран НАТО и ЕС — стандартная отраслевая практика (разделы 7.5 и 9).</w:t>
      </w:r>
    </w:p>
    <w:p>
      <w:pPr>
        <w:spacing w:before="160" w:after="40"/>
      </w:pPr>
      <w:r>
        <w:rPr>
          <w:b/>
          <w:color w:val="142647"/>
          <w:sz w:val="22"/>
        </w:rPr>
        <w:t>Ближайшие шаги</w:t>
      </w:r>
    </w:p>
    <w:p>
      <w:pPr>
        <w:pStyle w:val="ListBullet"/>
        <w:spacing w:after="60"/>
      </w:pPr>
      <w:r>
        <w:rPr>
          <w:sz w:val="20"/>
        </w:rPr>
        <w:t>Согласование структуры и условий с инвесторами; подготовка акционерного соглашения (раздел 9).</w:t>
      </w:r>
    </w:p>
    <w:p>
      <w:pPr>
        <w:pStyle w:val="ListBullet"/>
        <w:spacing w:after="60"/>
      </w:pPr>
      <w:r>
        <w:rPr>
          <w:sz w:val="20"/>
        </w:rPr>
        <w:t>Учреждение болгарских компаний и получение регуляторных согласований и экспортной лицензии как первого этапа запуска.</w:t>
      </w:r>
    </w:p>
    <w:p>
      <w:pPr>
        <w:pStyle w:val="ListBullet"/>
        <w:spacing w:after="60"/>
      </w:pPr>
      <w:r>
        <w:rPr>
          <w:sz w:val="20"/>
        </w:rPr>
        <w:t>Подтверждающие заключения местных юристов по Великобритании, Болгарии и Чехии.</w:t>
      </w:r>
    </w:p>
    <w:p>
      <w:r>
        <w:br w:type="page"/>
      </w:r>
    </w:p>
    <w:p>
      <w:pPr>
        <w:shd w:val="clear" w:fill="142647"/>
        <w:spacing w:before="200" w:after="160"/>
      </w:pPr>
      <w:r>
        <w:rPr>
          <w:color w:val="AABEDC"/>
          <w:sz w:val="20"/>
        </w:rPr>
        <w:t xml:space="preserve">ЧАСТЬ I    </w:t>
      </w:r>
      <w:r>
        <w:rPr>
          <w:b/>
          <w:color w:val="FFFFFF"/>
          <w:sz w:val="30"/>
        </w:rPr>
        <w:t>Проект и экономика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А. Инвестиционная теза</w:t>
      </w:r>
    </w:p>
    <w:p>
      <w:pPr>
        <w:spacing w:after="100"/>
      </w:pPr>
      <w:r>
        <w:rPr>
          <w:sz w:val="21"/>
        </w:rPr>
        <w:t>Цель проекта — создать серийное производство современного лёгкого боевого самолёта и вывести его на мировой рынок. Спрос на лёгкие боевые и учебно-боевые машины устойчиво растёт: государства обновляют устаревшие парки и ищут доступную альтернативу тяжёлым истребителям — с близкими боевыми возможностями, но кратно меньшей стоимостью приобретения и эксплуатации.</w:t>
      </w:r>
    </w:p>
    <w:p>
      <w:pPr>
        <w:pStyle w:val="ListBullet"/>
        <w:spacing w:after="60"/>
      </w:pPr>
      <w:r>
        <w:rPr>
          <w:sz w:val="20"/>
        </w:rPr>
        <w:t>Доступная многоцелевая платформа: непосредственная авиационная поддержка, воздушный бой, разведка, радиоэлектронная борьба и продвинутая подготовка лётчиков — в одном самолёте.</w:t>
      </w:r>
    </w:p>
    <w:p>
      <w:pPr>
        <w:pStyle w:val="ListBullet"/>
        <w:spacing w:after="60"/>
      </w:pPr>
      <w:r>
        <w:rPr>
          <w:sz w:val="20"/>
        </w:rPr>
        <w:t>Умеренные капитальные вложения относительно тяжёлых платформ при высокой совокупной прибыли и приемлемом сроке окупаемости.</w:t>
      </w:r>
    </w:p>
    <w:p>
      <w:pPr>
        <w:pStyle w:val="ListBullet"/>
        <w:spacing w:after="60"/>
      </w:pPr>
      <w:r>
        <w:rPr>
          <w:sz w:val="20"/>
        </w:rPr>
        <w:t>Производство и поставки из стран — членов НАТО и ЕС; интеграция в оборонное сотрудничество в рамках этих объединений.</w:t>
      </w:r>
    </w:p>
    <w:p>
      <w:pPr>
        <w:pStyle w:val="ListBullet"/>
        <w:spacing w:after="60"/>
      </w:pPr>
      <w:r>
        <w:rPr>
          <w:sz w:val="20"/>
        </w:rPr>
        <w:t>Опора на готовый производственный опыт и проверенных мировых поставщиков, что снижает технологические риски.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Б. Продукт: F/A-259U STRIKER</w:t>
      </w:r>
    </w:p>
    <w:p>
      <w:pPr>
        <w:spacing w:after="100"/>
      </w:pPr>
      <w:r>
        <w:rPr>
          <w:sz w:val="21"/>
        </w:rPr>
        <w:t>F/A-259U «STRIKER» — лёгкий многоцелевой ударный и учебно-боевой самолёт. Он построен на проверенной сертифицированной платформе чешского производителя Aero Vodochody, оснащён новым крылом, современной авионикой и двигателем. Состав бортового оборудования позволяет выполнять широкий круг боевых задач и одновременно служить платформой для продвинутой подготовки лётчиков.</w:t>
      </w:r>
    </w:p>
    <w:p>
      <w:pPr>
        <w:spacing w:before="160" w:after="40"/>
      </w:pPr>
      <w:r>
        <w:rPr>
          <w:b/>
          <w:color w:val="142647"/>
          <w:sz w:val="22"/>
        </w:rPr>
        <w:t>Боевые возможности</w:t>
      </w:r>
    </w:p>
    <w:p>
      <w:pPr>
        <w:pStyle w:val="ListBullet"/>
        <w:spacing w:after="60"/>
      </w:pPr>
      <w:r>
        <w:rPr>
          <w:sz w:val="20"/>
        </w:rPr>
        <w:t>Непосредственная авиационная поддержка (CAS), воздушный бой и противовоздушные операции.</w:t>
      </w:r>
    </w:p>
    <w:p>
      <w:pPr>
        <w:pStyle w:val="ListBullet"/>
        <w:spacing w:after="60"/>
      </w:pPr>
      <w:r>
        <w:rPr>
          <w:sz w:val="20"/>
        </w:rPr>
        <w:t>Разведка, наблюдение и целеуказание (ISR); радиоэлектронная борьба.</w:t>
      </w:r>
    </w:p>
    <w:p>
      <w:pPr>
        <w:pStyle w:val="ListBullet"/>
        <w:spacing w:after="60"/>
      </w:pPr>
      <w:r>
        <w:rPr>
          <w:sz w:val="20"/>
        </w:rPr>
        <w:t>Продвинутая и переходная подготовка лётчиков (LIFT), совместимая с подготовкой на F-16 и F-35.</w:t>
      </w:r>
    </w:p>
    <w:p>
      <w:pPr>
        <w:spacing w:before="160" w:after="40"/>
      </w:pPr>
      <w:r>
        <w:rPr>
          <w:b/>
          <w:color w:val="142647"/>
          <w:sz w:val="22"/>
        </w:rPr>
        <w:t>Ключевые особенности</w:t>
      </w:r>
    </w:p>
    <w:p>
      <w:pPr>
        <w:pStyle w:val="ListBullet"/>
        <w:spacing w:after="60"/>
      </w:pPr>
      <w:r>
        <w:rPr>
          <w:sz w:val="20"/>
        </w:rPr>
        <w:t>Современный радар с активной фазированной антенной решёткой; авионика открытой архитектуры с передачей данных в реальном времени (Link 16).</w:t>
      </w:r>
    </w:p>
    <w:p>
      <w:pPr>
        <w:pStyle w:val="ListBullet"/>
        <w:spacing w:after="60"/>
      </w:pPr>
      <w:r>
        <w:rPr>
          <w:sz w:val="20"/>
        </w:rPr>
        <w:t>Семь точек подвески, интеграция широкого спектра управляемого и неуправляемого вооружения; контейнеры целеуказания.</w:t>
      </w:r>
    </w:p>
    <w:p>
      <w:pPr>
        <w:pStyle w:val="ListBullet"/>
        <w:spacing w:after="60"/>
      </w:pPr>
      <w:r>
        <w:rPr>
          <w:sz w:val="20"/>
        </w:rPr>
        <w:t>Высокая живучесть: бронирование кабины, системы предупреждения, катапультное кресло; эксплуатация с неподготовленных полос; дозаправка в воздухе (опционально).</w:t>
      </w:r>
    </w:p>
    <w:p>
      <w:pPr>
        <w:pStyle w:val="ListBullet"/>
        <w:spacing w:after="60"/>
      </w:pPr>
      <w:r>
        <w:rPr>
          <w:sz w:val="20"/>
        </w:rPr>
        <w:t>Цифровая кабина, бортовые системы контроля и диагностики; экономичная эксплуатация и обслуживание.</w:t>
      </w:r>
    </w:p>
    <w:p>
      <w:pPr>
        <w:spacing w:before="160" w:after="40"/>
      </w:pPr>
      <w:r>
        <w:rPr>
          <w:b/>
          <w:color w:val="142647"/>
          <w:sz w:val="22"/>
        </w:rPr>
        <w:t>Основные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Размах крыла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9,54 м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Макс. скорость (у земли)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936 км/ч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Длина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12,72 м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Практический потолок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13 200 м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Макс. взлётная масса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8 300 кг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Боевые перегрузки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+8 / −4 g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Полезная нагрузка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до 3 000 кг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Двигатель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АI-322F с форсажем, FADEC</w:t>
            </w:r>
          </w:p>
        </w:tc>
      </w:tr>
    </w:tbl>
    <w:p>
      <w:pPr>
        <w:spacing w:after="40"/>
      </w:pP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В. Финансовые показатели</w:t>
      </w:r>
    </w:p>
    <w:p>
      <w:pPr>
        <w:spacing w:after="100"/>
      </w:pPr>
      <w:r>
        <w:rPr>
          <w:sz w:val="21"/>
        </w:rPr>
        <w:t>Расчёты выполнены консервативно: заложены максимально возможные издержки и минимальная прибыль; доходы от планового ремонта и обслуживания уже поставленного парка в модель не включены. Приведённые величины отражают оценку инициаторов и подлежат независимой проверке инвестором.</w:t>
      </w:r>
    </w:p>
    <w:p>
      <w:pPr>
        <w:pStyle w:val="ListBullet"/>
        <w:spacing w:after="60"/>
      </w:pPr>
      <w:r>
        <w:rPr>
          <w:sz w:val="20"/>
        </w:rPr>
        <w:t>Стоимость проекта — около 420 млн долларов США; вкладывается поэтапно: 1-й год — 150 млн, 2-й — 170 млн, 3-й — 100 млн.</w:t>
      </w:r>
    </w:p>
    <w:p>
      <w:pPr>
        <w:pStyle w:val="ListBullet"/>
        <w:spacing w:after="60"/>
      </w:pPr>
      <w:r>
        <w:rPr>
          <w:sz w:val="20"/>
        </w:rPr>
        <w:t>Цена самолёта — 25 млн долларов; себестоимость — до 20 млн; чистая прибыль — не менее 3 млн долларов на самолёт.</w:t>
      </w:r>
    </w:p>
    <w:p>
      <w:pPr>
        <w:pStyle w:val="ListBullet"/>
        <w:spacing w:after="60"/>
      </w:pPr>
      <w:r>
        <w:rPr>
          <w:sz w:val="20"/>
        </w:rPr>
        <w:t>Серийный выпуск выходит на 48 самолётов в год, всего не менее 300 машин; совокупная чистая прибыль проекта — не менее 900 млн долларов.</w:t>
      </w:r>
    </w:p>
    <w:p>
      <w:pPr>
        <w:pStyle w:val="ListBullet"/>
        <w:spacing w:after="60"/>
      </w:pPr>
      <w:r>
        <w:rPr>
          <w:sz w:val="20"/>
        </w:rPr>
        <w:t>Окупаемость зависит от сценария: в базовом — около восьмого года с начала финансирования, в консервативном — около десятого.</w:t>
      </w:r>
    </w:p>
    <w:p>
      <w:pPr>
        <w:spacing w:before="160" w:after="40"/>
      </w:pPr>
      <w:r>
        <w:rPr>
          <w:b/>
          <w:color w:val="142647"/>
          <w:sz w:val="22"/>
        </w:rPr>
        <w:t>Базовый сценарий — финансовая модель по годам (млн долларов США)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fill="142647"/>
          </w:tcPr>
          <w:p>
            <w:r>
              <w:rPr>
                <w:b/>
                <w:color w:val="FFFFFF"/>
                <w:sz w:val="16"/>
              </w:rPr>
              <w:t>Год</w:t>
            </w:r>
          </w:p>
        </w:tc>
        <w:tc>
          <w:tcPr>
            <w:tcW w:type="dxa" w:w="1392"/>
            <w:shd w:val="clear" w:fill="142647"/>
          </w:tcPr>
          <w:p>
            <w:r>
              <w:rPr>
                <w:b/>
                <w:color w:val="FFFFFF"/>
                <w:sz w:val="16"/>
              </w:rPr>
              <w:t>Инвестиции</w:t>
            </w:r>
          </w:p>
        </w:tc>
        <w:tc>
          <w:tcPr>
            <w:tcW w:type="dxa" w:w="1392"/>
            <w:shd w:val="clear" w:fill="142647"/>
          </w:tcPr>
          <w:p>
            <w:r>
              <w:rPr>
                <w:b/>
                <w:color w:val="FFFFFF"/>
                <w:sz w:val="16"/>
              </w:rPr>
              <w:t>Самолётов</w:t>
            </w:r>
          </w:p>
        </w:tc>
        <w:tc>
          <w:tcPr>
            <w:tcW w:type="dxa" w:w="1392"/>
            <w:shd w:val="clear" w:fill="142647"/>
          </w:tcPr>
          <w:p>
            <w:r>
              <w:rPr>
                <w:b/>
                <w:color w:val="FFFFFF"/>
                <w:sz w:val="16"/>
              </w:rPr>
              <w:t>Выручка</w:t>
            </w:r>
          </w:p>
        </w:tc>
        <w:tc>
          <w:tcPr>
            <w:tcW w:type="dxa" w:w="1392"/>
            <w:shd w:val="clear" w:fill="142647"/>
          </w:tcPr>
          <w:p>
            <w:r>
              <w:rPr>
                <w:b/>
                <w:color w:val="FFFFFF"/>
                <w:sz w:val="16"/>
              </w:rPr>
              <w:t>Затраты</w:t>
            </w:r>
          </w:p>
        </w:tc>
        <w:tc>
          <w:tcPr>
            <w:tcW w:type="dxa" w:w="1392"/>
            <w:shd w:val="clear" w:fill="142647"/>
          </w:tcPr>
          <w:p>
            <w:r>
              <w:rPr>
                <w:b/>
                <w:color w:val="FFFFFF"/>
                <w:sz w:val="16"/>
              </w:rPr>
              <w:t>Чистая прибыль</w:t>
            </w:r>
          </w:p>
        </w:tc>
        <w:tc>
          <w:tcPr>
            <w:tcW w:type="dxa" w:w="1392"/>
            <w:shd w:val="clear" w:fill="142647"/>
          </w:tcPr>
          <w:p>
            <w:r>
              <w:rPr>
                <w:b/>
                <w:color w:val="FFFFFF"/>
                <w:sz w:val="16"/>
              </w:rPr>
              <w:t>Накопл. поток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−150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−320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4 опытных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−420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−348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−276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704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−180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704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−84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1 200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1 056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+60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1 200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1 056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+204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1 200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1 056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+348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1 200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1 056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+492</w:t>
            </w:r>
          </w:p>
        </w:tc>
      </w:tr>
      <w:tr>
        <w:tc>
          <w:tcPr>
            <w:tcW w:type="dxa" w:w="1392"/>
          </w:tcPr>
          <w:p>
            <w:r>
              <w:rPr>
                <w:sz w:val="16"/>
              </w:rPr>
              <w:t>Итого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420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7 600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6 688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912</w:t>
            </w:r>
          </w:p>
        </w:tc>
        <w:tc>
          <w:tcPr>
            <w:tcW w:type="dxa" w:w="1392"/>
          </w:tcPr>
          <w:p>
            <w:r>
              <w:rPr>
                <w:sz w:val="16"/>
              </w:rPr>
              <w:t>+492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42647"/>
          <w:sz w:val="22"/>
        </w:rPr>
        <w:t>Накопленный денежный поток и точка окупаемости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7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cash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Млн долларов США, базовый сценарий. Красная линия — год выхода в плюс (окупаемость).</w:t>
      </w:r>
    </w:p>
    <w:p>
      <w:pPr>
        <w:spacing w:before="160" w:after="40"/>
      </w:pPr>
      <w:r>
        <w:rPr>
          <w:b/>
          <w:color w:val="142647"/>
          <w:sz w:val="22"/>
        </w:rPr>
        <w:t>Сценарии и допущения</w:t>
      </w:r>
    </w:p>
    <w:p>
      <w:pPr>
        <w:spacing w:after="100"/>
      </w:pPr>
      <w:r>
        <w:rPr>
          <w:sz w:val="21"/>
        </w:rPr>
        <w:t>Финансовые показатели — это оценка, построенная на допущениях, которые подлежат подтверждению: цена 25 млн долларов и себестоимость до 20 млн долларов на самолёт, выход на 48 машин в год, обеспечение спроса контрактами на поставку, сроки разработки 37 месяцев.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Окупаемость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Совокупная прибыль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Ключевые допущения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Базовый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около 8-го года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не менее 900 млн $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Цена 25 млн $, прибыль 3 млн $/шт, выход на 48 шт/год по графику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Консервативный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около 10-го года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порядка 600–700 млн $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Издержки выше, прибыль около 2 млн $/шт, медленнее выход на полную мощность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42647"/>
          <w:sz w:val="22"/>
        </w:rPr>
        <w:t>Ориентир условий для инвестора</w:t>
      </w:r>
    </w:p>
    <w:p>
      <w:pPr>
        <w:spacing w:after="100"/>
      </w:pPr>
      <w:r>
        <w:rPr>
          <w:sz w:val="21"/>
        </w:rPr>
        <w:t>Объём привлечения — около 420 млн долларов: это полное финансирование трёх лет разработки, испытаний и запуска серийного производства. В обмен инвесторы получают совокупную долю в холдинге; конкретная доля, оценка и условия — предмет переговоров.</w:t>
      </w:r>
    </w:p>
    <w:p>
      <w:pPr>
        <w:pStyle w:val="ListBullet"/>
        <w:spacing w:after="60"/>
      </w:pPr>
      <w:r>
        <w:rPr>
          <w:sz w:val="20"/>
        </w:rPr>
        <w:t>Ориентировочная оценка проекта (post-money) — порядка 0,7–1,1 млрд долларов, исходя из прогнозной совокупной прибыли и срока окупаемости.</w:t>
      </w:r>
    </w:p>
    <w:p>
      <w:pPr>
        <w:pStyle w:val="ListBullet"/>
        <w:spacing w:after="60"/>
      </w:pPr>
      <w:r>
        <w:rPr>
          <w:sz w:val="20"/>
        </w:rPr>
        <w:t>Этому соответствует совокупная доля инвесторов ориентировочно 40–60% за полное финансирование в 420 млн долларов.</w:t>
      </w:r>
    </w:p>
    <w:p>
      <w:pPr>
        <w:pStyle w:val="ListBullet"/>
        <w:spacing w:after="60"/>
      </w:pPr>
      <w:r>
        <w:rPr>
          <w:sz w:val="20"/>
        </w:rPr>
        <w:t>Величины индикативны и уточняются по итогам переговоров и подтверждённой финансовой модели.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Г. Этапы и сроки реализации</w:t>
      </w:r>
    </w:p>
    <w:p>
      <w:pPr>
        <w:spacing w:after="100"/>
      </w:pPr>
      <w:r>
        <w:rPr>
          <w:sz w:val="21"/>
        </w:rPr>
        <w:t>От начала финансирования до старта серийного производства — 37 месяцев. Ключевые вехи:</w:t>
      </w:r>
    </w:p>
    <w:p>
      <w:pPr>
        <w:pStyle w:val="ListBullet"/>
        <w:spacing w:after="60"/>
      </w:pPr>
      <w:r>
        <w:rPr>
          <w:sz w:val="20"/>
        </w:rPr>
        <w:t>До 14 месяцев: новый двигатель и крыло, пакет рабочей конструкторской документации, макетный образец, первый опытный самолёт.</w:t>
      </w:r>
    </w:p>
    <w:p>
      <w:pPr>
        <w:pStyle w:val="ListBullet"/>
        <w:spacing w:after="60"/>
      </w:pPr>
      <w:r>
        <w:rPr>
          <w:sz w:val="20"/>
        </w:rPr>
        <w:t>До 18 месяцев: второй опытный самолёт для испытаний на прочность.</w:t>
      </w:r>
    </w:p>
    <w:p>
      <w:pPr>
        <w:pStyle w:val="ListBullet"/>
        <w:spacing w:after="60"/>
      </w:pPr>
      <w:r>
        <w:rPr>
          <w:sz w:val="20"/>
        </w:rPr>
        <w:t>До 22 месяцев: третий и четвёртый опытные самолёты для испытаний крыла, оборудования и вооружения.</w:t>
      </w:r>
    </w:p>
    <w:p>
      <w:pPr>
        <w:pStyle w:val="ListBullet"/>
        <w:spacing w:after="60"/>
      </w:pPr>
      <w:r>
        <w:rPr>
          <w:sz w:val="20"/>
        </w:rPr>
        <w:t>До 32–36 месяцев: все виды испытаний; первый предсерийный самолёт передаётся заказчику на войсковые испытания.</w:t>
      </w:r>
    </w:p>
    <w:p>
      <w:pPr>
        <w:pStyle w:val="ListBullet"/>
        <w:spacing w:after="60"/>
      </w:pPr>
      <w:r>
        <w:rPr>
          <w:sz w:val="20"/>
        </w:rPr>
        <w:t>37-й месяц: начало серийного производства.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84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gan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4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Календарный план от начала финансирования (месяцы).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Д. Участники проекта</w:t>
      </w:r>
    </w:p>
    <w:p>
      <w:pPr>
        <w:spacing w:after="100"/>
      </w:pPr>
      <w:r>
        <w:rPr>
          <w:sz w:val="21"/>
        </w:rPr>
        <w:t>Проект инициирован инициативной группой специалистов с опытом реализации проектов в авиационной отрасли. Сборка и серийное производство — в странах ЕС (на первом этапе Чехия, далее Польша или Болгария). Ключевые промышленные участники:</w:t>
      </w:r>
    </w:p>
    <w:p>
      <w:pPr>
        <w:pStyle w:val="ListBullet"/>
        <w:spacing w:after="60"/>
      </w:pPr>
      <w:r>
        <w:rPr>
          <w:sz w:val="20"/>
        </w:rPr>
        <w:t>Aero Vodochody (Чехия) — базовая платформа и сборка опытных образцов и серийных самолётов; известный производитель самолётов этого класса.</w:t>
      </w:r>
    </w:p>
    <w:p>
      <w:pPr>
        <w:pStyle w:val="ListBullet"/>
        <w:spacing w:after="60"/>
      </w:pPr>
      <w:r>
        <w:rPr>
          <w:sz w:val="20"/>
        </w:rPr>
        <w:t>IAI (Израиль) — поставка комплекса авионики для опытных и серийных самолётов.</w:t>
      </w:r>
    </w:p>
    <w:p>
      <w:pPr>
        <w:pStyle w:val="ListBullet"/>
        <w:spacing w:after="60"/>
      </w:pPr>
      <w:r>
        <w:rPr>
          <w:sz w:val="20"/>
        </w:rPr>
        <w:t>Ивченко-Прогрес и Мотор Сич (Украина) — поставка двигателя: разработка и адаптация, опытная партия, серийные двигатели и обслуживание.</w:t>
      </w:r>
    </w:p>
    <w:p>
      <w:pPr>
        <w:pStyle w:val="ListBullet"/>
        <w:spacing w:after="60"/>
      </w:pPr>
      <w:r>
        <w:rPr>
          <w:sz w:val="20"/>
        </w:rPr>
        <w:t>Поставщики отдельных систем (в том числе крыла) — по мере проработки конструкции.</w:t>
      </w:r>
    </w:p>
    <w:p>
      <w:pPr>
        <w:spacing w:after="100"/>
      </w:pPr>
      <w:r>
        <w:rPr>
          <w:sz w:val="21"/>
        </w:rPr>
        <w:t>Украина рассматривается также как один из ключевых рынков сбыта. Опора на проверенные мировые предприятия снижает технологические и производственные риски; окончательное закрепление участия происходит договорами на этапе оформления структуры.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Е. Оценка проектных рисков</w:t>
      </w:r>
    </w:p>
    <w:p>
      <w:pPr>
        <w:spacing w:after="100"/>
      </w:pPr>
      <w:r>
        <w:rPr>
          <w:sz w:val="21"/>
        </w:rPr>
        <w:t>Ниже — основные проектные риски и меры их снижения. Оценки отражают позицию инициаторов и подлежат независимой проверке инвестором; в частности, спрос предполагается обеспечить предварительными контрактами, наличие которых инвестору следует подтвердить.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Оценка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Меры снижения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Перерасход средств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ниже среднего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Авторский надзор за реализацией; корректные договоры между участниками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Производственный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ниже среднего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Подбор и обучение персонала; стимулирование управленческой команды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Инфляционный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средний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Контракты в твёрдой валюте; хеджирование валютных рисков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Маркетинговый (сбыт)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ниже среднего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Работа по предварительным контрактам на производство и поставку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Технологические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ниже среднего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Проверенные мировые поставщики компонентов и партнёры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hd w:val="clear" w:fill="142647"/>
        <w:spacing w:before="200" w:after="160"/>
      </w:pPr>
      <w:r>
        <w:rPr>
          <w:color w:val="AABEDC"/>
          <w:sz w:val="20"/>
        </w:rPr>
        <w:t xml:space="preserve">ЧАСТЬ II    </w:t>
      </w:r>
      <w:r>
        <w:rPr>
          <w:b/>
          <w:color w:val="FFFFFF"/>
          <w:sz w:val="30"/>
        </w:rPr>
        <w:t>Корпоративная структура и налогообложение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1. Рекомендуемая структура и ключевые преимущества</w:t>
      </w:r>
    </w:p>
    <w:p>
      <w:pPr>
        <w:spacing w:after="100"/>
      </w:pPr>
      <w:r>
        <w:rPr>
          <w:sz w:val="21"/>
        </w:rPr>
        <w:t>Структура состоит из трёх уровней. Инвесторы владеют единой холдинговой компанией; та напрямую владеет двумя болгарскими компаниями — одна организует производство, другая ведёт продажи. Холдинг держит права на разработку самолёта и распределяет прибыль инвесторам. Проект проходит два этапа: на первом сборку выполняет независимый завод по заказу группы, на втором группа может перейти к собственному производству.</w:t>
      </w:r>
    </w:p>
    <w:p>
      <w:pPr>
        <w:spacing w:before="160" w:after="40"/>
      </w:pPr>
      <w:r>
        <w:rPr>
          <w:b/>
          <w:color w:val="142647"/>
          <w:sz w:val="22"/>
        </w:rPr>
        <w:t>Юрисдикции структуры и ставки налога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14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jur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Все страны структуры — члены НАТО, а Болгария и Чехия также входят в ЕС. Прибыль накапливается в Болгарии с одной из самых низких в Евросоюзе ставок — 10%; британский холдинг не платит налог при получении и распределении прибыли.</w:t>
      </w:r>
    </w:p>
    <w:p>
      <w:pPr>
        <w:spacing w:before="160" w:after="40"/>
      </w:pPr>
      <w:r>
        <w:rPr>
          <w:b/>
          <w:color w:val="142647"/>
          <w:sz w:val="22"/>
        </w:rPr>
        <w:t>Этап 1 — производство по заказу (базовая структура)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2399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stag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9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Завод Aero Vodochody в группу не входит: он собирает самолёт по заказу за плату. Компоненты, включая авионику IAI (Израиль), поставляют внешние партнёры.</w:t>
      </w:r>
    </w:p>
    <w:p>
      <w:pPr>
        <w:spacing w:before="160" w:after="40"/>
      </w:pPr>
      <w:r>
        <w:rPr>
          <w:b/>
          <w:color w:val="142647"/>
          <w:sz w:val="22"/>
        </w:rPr>
        <w:t>Этап 2 — собственное производство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7519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stag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5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По мере роста группа строит собственный завод, и производственная компания входит в группу.</w:t>
      </w:r>
    </w:p>
    <w:p>
      <w:pPr>
        <w:spacing w:before="160" w:after="40"/>
      </w:pPr>
      <w:r>
        <w:rPr>
          <w:b/>
          <w:color w:val="142647"/>
          <w:sz w:val="22"/>
        </w:rPr>
        <w:t>Ключевые преимущества</w:t>
      </w:r>
    </w:p>
    <w:p>
      <w:pPr>
        <w:pStyle w:val="ListBullet"/>
        <w:spacing w:after="60"/>
      </w:pPr>
      <w:r>
        <w:rPr>
          <w:sz w:val="20"/>
        </w:rPr>
        <w:t>Низкая нагрузка на прибыль. Операционная прибыль облагается в Болгарии по ставке 10% — одной из самых низких в Европейском союзе.</w:t>
      </w:r>
    </w:p>
    <w:p>
      <w:pPr>
        <w:pStyle w:val="ListBullet"/>
        <w:spacing w:after="60"/>
      </w:pPr>
      <w:r>
        <w:rPr>
          <w:sz w:val="20"/>
        </w:rPr>
        <w:t>Прибыль доходит наверх без потерь. Передача из Болгарии в британский холдинг не облагается налогом у источника по налоговому соглашению (доля не менее 10%, не менее года).</w:t>
      </w:r>
    </w:p>
    <w:p>
      <w:pPr>
        <w:pStyle w:val="ListBullet"/>
        <w:spacing w:after="60"/>
      </w:pPr>
      <w:r>
        <w:rPr>
          <w:sz w:val="20"/>
        </w:rPr>
        <w:t>Эффективное распределение. Холдинг выплачивает прибыль инвесторам без удержания налога (раздел 5.3).</w:t>
      </w:r>
    </w:p>
    <w:p>
      <w:pPr>
        <w:pStyle w:val="ListBullet"/>
        <w:spacing w:after="60"/>
      </w:pPr>
      <w:r>
        <w:rPr>
          <w:sz w:val="20"/>
        </w:rPr>
        <w:t>Надёжная юрисдикция холдинга. Великобритания — признанный центр для международных инвесторов с английским правом; защита прав оформляется акционерным соглашением (раздел 9).</w:t>
      </w:r>
    </w:p>
    <w:p>
      <w:pPr>
        <w:pStyle w:val="ListBullet"/>
        <w:spacing w:after="60"/>
      </w:pPr>
      <w:r>
        <w:rPr>
          <w:sz w:val="20"/>
        </w:rPr>
        <w:t>Соответствие военно-экспортным требованиям. Болгария и Чехия — члены НАТО и ЕС с полноценными режимами лицензирования.</w:t>
      </w:r>
    </w:p>
    <w:p>
      <w:pPr>
        <w:pStyle w:val="ListBullet"/>
        <w:spacing w:after="60"/>
      </w:pPr>
      <w:r>
        <w:rPr>
          <w:sz w:val="20"/>
        </w:rPr>
        <w:t>Защита инвестиций. Британский холдинг пользуется действующим договором о защите инвестиций с Болгарией: гарантии от экспроприации и доступ к международному арбитражу против государства (раздел 2.5).</w:t>
      </w:r>
    </w:p>
    <w:p>
      <w:pPr>
        <w:pStyle w:val="ListBullet"/>
        <w:spacing w:after="60"/>
      </w:pPr>
      <w:r>
        <w:rPr>
          <w:sz w:val="20"/>
        </w:rPr>
        <w:t>Гибкость и удобный выход. Переход к собственному производству не требует перестройки; продажа долей на уровне структуры освобождена от налога.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2. Холдинговая компания</w:t>
      </w:r>
    </w:p>
    <w:p>
      <w:pPr>
        <w:spacing w:after="100"/>
      </w:pPr>
      <w:r>
        <w:rPr>
          <w:sz w:val="21"/>
        </w:rPr>
        <w:t>Холдинговая компания принадлежит инвесторам напрямую, владеет проектом, получает прибыль от операционной компании и распределяет её в виде дивидендов. Сделки по выходу проходят на её уровне.</w:t>
      </w:r>
    </w:p>
    <w:p>
      <w:pPr>
        <w:spacing w:before="160" w:after="40"/>
      </w:pPr>
      <w:r>
        <w:rPr>
          <w:b/>
          <w:color w:val="142647"/>
          <w:sz w:val="22"/>
        </w:rPr>
        <w:t>2.1 Сравнение юрисдикций по ключевым критериям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Великобритания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Люксембург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Ирландия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Нидерланды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Прибыль от операционной компании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без потерь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без потерь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без потерь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без потерь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Налог при выплате инвесторам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ноль для всех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ноль / минимум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ноль / по договору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ноль / минимум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Освобождение при выходе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при условиях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наиболее широкое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Качество суда и права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английское право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высокое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английское право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высокое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Репутация для инвесторов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высокая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высшая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высокая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высокая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Членство в ЕС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нет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да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42647"/>
          <w:sz w:val="22"/>
        </w:rPr>
        <w:t>2.2 Итоговая налоговая нагрузка</w:t>
      </w:r>
    </w:p>
    <w:p>
      <w:pPr>
        <w:spacing w:after="100"/>
      </w:pPr>
      <w:r>
        <w:rPr>
          <w:sz w:val="21"/>
        </w:rPr>
        <w:t>Во всех четырёх юрисдикциях прибыль поступает из Болгарии в холдинг без налога у источника, а выплата инвесторам сводится к нулю при доле не менее 10%. Поэтому итоговая нагрузка практически одинакова, и выбор определяется надёжностью освобождения, режимом выхода, стоимостью содержания и репутацией.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Юрисдикция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Налог при выплате инвестору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Великобритания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для всех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Налог у источника на дивиденды не взимается в принципе; из Болгарии — ноль по налоговому соглашению; содержание дешевле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Люксембург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/ минимум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для держателей с долей ≥10%, облагаемых налогом не менее 8% в своей стране; наиболее широкий режим выхода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Ирландия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/ по договору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Общее право; освобождение при условиях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Нидерланды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 / минимум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Автоматическое освобождение; содержание дороже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1"/>
        </w:rPr>
        <w:t>Важное различие: в Люксембурге нулевой налог при выплате инвестору возможен только если получатель — компания, облагаемая налогом не менее 8% в своей стране (корпоративный инвестор из ОАЭ с 9% удовлетворяет). Великобритания не удерживает налог на дивиденды ни при каком составе собственников — поэтому она и рекомендована.</w:t>
      </w:r>
    </w:p>
    <w:p>
      <w:pPr>
        <w:spacing w:before="160" w:after="40"/>
      </w:pPr>
      <w:r>
        <w:rPr>
          <w:b/>
          <w:color w:val="142647"/>
          <w:sz w:val="22"/>
        </w:rPr>
        <w:t>2.3 Рекомендация: холдинг в Великобритании</w:t>
      </w:r>
    </w:p>
    <w:p>
      <w:pPr>
        <w:spacing w:after="100"/>
      </w:pPr>
      <w:r>
        <w:rPr>
          <w:sz w:val="21"/>
        </w:rPr>
        <w:t>Мы рекомендуем Великобританию. Состав инвесторов пока не определён, а британский холдинг устойчив к любому составу: налог у источника на дивиденды здесь не взимается в принципе. Прибыль из Болгарии поступает без удержания по договору; полученные дивиденды освобождены; при продаже долей действует освобождение от налога на прирост стоимости участия в торговой компании. Добавляются английское право и более низкая стоимость содержания.</w:t>
      </w:r>
    </w:p>
    <w:p>
      <w:pPr>
        <w:spacing w:after="100"/>
      </w:pPr>
      <w:r>
        <w:rPr>
          <w:sz w:val="21"/>
        </w:rPr>
        <w:t>Люксембург остаётся равноценной альтернативой для инвесторов — нормально облагаемых компаний ЕС. Выбор страны холдинга не снимает проверку иностранных инвестиций: она оценивает конечного собственника независимо от места холдинга (раздел 7.5). Великобритания даёт и дополнительный слой защиты инвестиций — через действующий договор с Болгарией (раздел 2.5).</w:t>
      </w:r>
    </w:p>
    <w:p>
      <w:pPr>
        <w:spacing w:before="160" w:after="40"/>
      </w:pPr>
      <w:r>
        <w:rPr>
          <w:b/>
          <w:color w:val="142647"/>
          <w:sz w:val="22"/>
        </w:rPr>
        <w:t>2.4 Почему исключена Швейцария</w:t>
      </w:r>
    </w:p>
    <w:p>
      <w:pPr>
        <w:spacing w:after="100"/>
      </w:pPr>
      <w:r>
        <w:rPr>
          <w:sz w:val="21"/>
        </w:rPr>
        <w:t>Швейцария привлекательна по налогам и репутации, но для оборонного проекта с экспортной составляющей не подходит: законы о военных материалах и о нейтралитете жёстко ограничивают участие швейцарских компаний в поставках военной продукции и её реэкспорте.</w:t>
      </w:r>
    </w:p>
    <w:p>
      <w:pPr>
        <w:spacing w:before="160" w:after="40"/>
      </w:pPr>
      <w:r>
        <w:rPr>
          <w:b/>
          <w:color w:val="142647"/>
          <w:sz w:val="22"/>
        </w:rPr>
        <w:t>2.5 Защита инвестиций: национальное право и инвестиционные договоры</w:t>
      </w:r>
    </w:p>
    <w:p>
      <w:pPr>
        <w:spacing w:after="100"/>
      </w:pPr>
      <w:r>
        <w:rPr>
          <w:sz w:val="21"/>
        </w:rPr>
        <w:t>Вложения инвесторов защищены на двух уровнях: правом страны холдинга и международными договорами о защите инвестиций между страной холдинга и государствами, где находятся активы.</w:t>
      </w:r>
    </w:p>
    <w:p>
      <w:pPr>
        <w:spacing w:after="100"/>
      </w:pPr>
      <w:r>
        <w:rPr>
          <w:sz w:val="21"/>
        </w:rPr>
        <w:t>Национальное право. Великобритания обеспечивает верховенство права, независимые суды, защиту собственности (ст. 1 Протокола № 1 к ЕКПЧ) и свободное перемещение средств. Люксембург как член ЕС гарантирует защиту собственности (ст. 17 Хартии ЕС) и свободу движения капитала (ст. 63 ДФЕС).</w:t>
      </w:r>
    </w:p>
    <w:p>
      <w:pPr>
        <w:spacing w:after="100"/>
      </w:pPr>
      <w:r>
        <w:rPr>
          <w:sz w:val="21"/>
        </w:rPr>
        <w:t>На уровне «холдинг → активы» у Великобритании есть действующий договор о защите инвестиций с Болгарией (1995, в силе с 1997) и с Чехией (1990): гарантии от экспроприации, справедливый режим, свободный перевод доходов и доступ к международному арбитражу против государства. Люксембургский холдинг такой защиты в отношении этих стран лишён: договоры между государствами ЕС прекращены соглашением 2020 года (после решения Суда ЕС по делу Achmea).</w:t>
      </w:r>
    </w:p>
    <w:p>
      <w:pPr>
        <w:spacing w:after="100"/>
      </w:pPr>
      <w:r>
        <w:rPr>
          <w:sz w:val="21"/>
        </w:rPr>
        <w:t>На уровне «инвестор → холдинг» защищает другой договор — между страной инвестора и страной холдинга. И Великобритания (с ОАЭ — 1992), и Люксембург через союз с Бельгией (BLEU; с ОАЭ — 2004, с Саудовской Аравией — 2001) имеют такие договоры. Значение этого слоя умеренное: вероятность экспроприации со стороны самих Великобритании или Люксембурга крайне мала.</w:t>
      </w:r>
    </w:p>
    <w:p>
      <w:pPr>
        <w:spacing w:after="100"/>
      </w:pPr>
      <w:r>
        <w:rPr>
          <w:sz w:val="21"/>
        </w:rPr>
        <w:t>Оговорки: Европейская комиссия добивается прекращения британских договоров с Болгарией и Чехией (дело в Суде ЕС, декабрь 2024); договор Великобритания—Польша прекращён в 2018 году. И Великобритания, и Люксембург участвуют в Вашингтонской (ICSID) и Нью-Йоркской конвенциях, поэтому арбитражные решения исполнимы более чем в 170 странах.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3. Производственная компания</w:t>
      </w:r>
    </w:p>
    <w:p>
      <w:pPr>
        <w:spacing w:after="100"/>
      </w:pPr>
      <w:r>
        <w:rPr>
          <w:sz w:val="21"/>
        </w:rPr>
        <w:t>Производство проходит два этапа: сначала сборку ведёт действующий завод по заказу группы, затем группа может перейти к собственной сборке.</w:t>
      </w:r>
    </w:p>
    <w:p>
      <w:pPr>
        <w:spacing w:before="160" w:after="40"/>
      </w:pPr>
      <w:r>
        <w:rPr>
          <w:b/>
          <w:color w:val="142647"/>
          <w:sz w:val="22"/>
        </w:rPr>
        <w:t>3.1 Первый этап — производство по заказу</w:t>
      </w:r>
    </w:p>
    <w:p>
      <w:pPr>
        <w:spacing w:after="100"/>
      </w:pPr>
      <w:r>
        <w:rPr>
          <w:sz w:val="21"/>
        </w:rPr>
        <w:t>Сборку выполняет Aero Vodochody (Чехия) — независимый завод с опытом производства самолётов этого класса. Группа заказывает сборку и сама закупает документацию, авионику (IAI, Израиль) и двигатели. Это избавляет от необходимости строить собственный завод, экономит вложения и время и опирается на готовый опыт и сертификацию.</w:t>
      </w:r>
    </w:p>
    <w:p>
      <w:pPr>
        <w:spacing w:after="100"/>
      </w:pPr>
      <w:r>
        <w:rPr>
          <w:sz w:val="21"/>
        </w:rPr>
        <w:t>Условие сохранения болгарской ставки 10%: чтобы прибыль облагалась в Болгарии, а не в Чехии, болгарская компания не должна создавать в Чехии налогооблагаемого присутствия (постоянного представительства). Сборка силами независимого подрядчика на рыночных условиях сама по себе такого присутствия не создаёт.</w:t>
      </w:r>
    </w:p>
    <w:p>
      <w:pPr>
        <w:spacing w:before="160" w:after="40"/>
      </w:pPr>
      <w:r>
        <w:rPr>
          <w:b/>
          <w:color w:val="142647"/>
          <w:sz w:val="22"/>
        </w:rPr>
        <w:t>3.2 Второй этап — собственное производство</w:t>
      </w:r>
    </w:p>
    <w:p>
      <w:pPr>
        <w:spacing w:after="100"/>
      </w:pPr>
      <w:r>
        <w:rPr>
          <w:sz w:val="21"/>
        </w:rPr>
        <w:t>По мере роста группа может организовать собственную сборку: это требует вложений и времени, но даёт полный контроль. Среди стран ЕС перспективна Польша — развитая авиапромышленность, кадры и льготы для крупных инвестиций; рассматривается также Болгария. Конкретная площадка определяется на этом этапе.</w:t>
      </w:r>
    </w:p>
    <w:p>
      <w:pPr>
        <w:spacing w:before="160" w:after="40"/>
      </w:pPr>
      <w:r>
        <w:rPr>
          <w:b/>
          <w:color w:val="142647"/>
          <w:sz w:val="22"/>
        </w:rPr>
        <w:t>3.3 Сравнение юрисдикций производства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Страна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Налог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Труд, €/ч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Авиапром</w:t>
            </w:r>
          </w:p>
        </w:tc>
        <w:tc>
          <w:tcPr>
            <w:tcW w:type="dxa" w:w="1949"/>
            <w:shd w:val="clear" w:fill="142647"/>
          </w:tcPr>
          <w:p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Болгария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10,6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базовый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Самый низкий налог и самая дешёвая рабочая сила в ЕС; член НАТО и ЕС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Румыния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16%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12,5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средний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Низкие издержки, есть авиапредприятия; член НАТО и ЕС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Польша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19%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около 16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сильный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Развитый авиапром и льготы для крупных инвестиций; член НАТО и ЕС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Словакия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10–24%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около 16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базовый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Ставка 24% — только при выручке свыше 5 млн €; иначе 21% или 10%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Чехия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21%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около 18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сильный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Лидер в классе; место сборки на первом этапе; член НАТО и ЕС</w:t>
            </w:r>
          </w:p>
        </w:tc>
      </w:tr>
    </w:tbl>
    <w:p>
      <w:pPr>
        <w:spacing w:after="40"/>
      </w:pP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4. Продающая компания</w:t>
      </w:r>
    </w:p>
    <w:p>
      <w:pPr>
        <w:spacing w:after="100"/>
      </w:pPr>
      <w:r>
        <w:rPr>
          <w:sz w:val="21"/>
        </w:rPr>
        <w:t>Продажа боевых самолётов требует военно-экспортной лицензии страны продавца и подтверждения конечного пользователя. Продающая компания должна находиться в стране — члене НАТО и ЕС с действующим режимом военно-экспортного контроля; офшорные юрисдикции для этой роли не подходят.</w:t>
      </w:r>
    </w:p>
    <w:p>
      <w:pPr>
        <w:spacing w:before="160" w:after="40"/>
      </w:pPr>
      <w:r>
        <w:rPr>
          <w:b/>
          <w:color w:val="142647"/>
          <w:sz w:val="22"/>
        </w:rPr>
        <w:t>4.1 Сравнение юрисдикций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Страна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Налог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Военно-экспортный режим</w:t>
            </w:r>
          </w:p>
        </w:tc>
        <w:tc>
          <w:tcPr>
            <w:tcW w:type="dxa" w:w="2436"/>
            <w:shd w:val="clear" w:fill="142647"/>
          </w:tcPr>
          <w:p>
            <w:r>
              <w:rPr>
                <w:b/>
                <w:color w:val="FFFFFF"/>
                <w:sz w:val="17"/>
              </w:rPr>
              <w:t>Передача прибыли в холдинг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Болгария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развитый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 (обе страны в ЕС)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Чехия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21%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крупный экспортёр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Польша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19%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сильный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Румыния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16%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средний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Словакия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21–24%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средний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ноль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1"/>
        </w:rPr>
        <w:t>Продающую компанию рекомендуется разместить в Болгарии — там же, где операционную: одна из самых низких ставок, полноценный военно-экспортный режим, передача прибыли без потерь. Закупочную и продающую функции целесообразно разделить на две болгарские компании. Размещение лицензии в Болгарии не отменяет того, что при сборке и отгрузке из Чехии применяются чешские экспортные правила и согласие (раздел 7.6).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5. Движение прибыли и налоговая нагрузка</w:t>
      </w:r>
    </w:p>
    <w:p>
      <w:pPr>
        <w:spacing w:after="100"/>
      </w:pPr>
      <w:r>
        <w:rPr>
          <w:sz w:val="21"/>
        </w:rPr>
        <w:t>В рекомендованной структуре операционная и продающая компании находятся в Болгарии, холдинг — в Великобритании, сборка на первом этапе — на заводе Aero Vodochody в Чехии.</w:t>
      </w:r>
    </w:p>
    <w:p>
      <w:pPr>
        <w:spacing w:before="160" w:after="40"/>
      </w:pPr>
      <w:r>
        <w:rPr>
          <w:b/>
          <w:color w:val="142647"/>
          <w:sz w:val="22"/>
        </w:rPr>
        <w:t>5.1 Почему Болгария для операционной и продающей компаний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Юрисдикция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Ставка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Оценка для нашей структуры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Венгрия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9%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Формально ниже, но не даёт преимущества: поверх 9% — местный налог с оборота (до 2%); фактическая нагрузка приближается к болгарской. Мнение о препятствиях со стороны правил КИК ошибочно.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Болгария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Плоская ставка без сложных условий; военно-экспортный режим; передача в холдинг ЕС без налога у источника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Ирландия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12,5%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12,5% только на торговый доход; пассивный — 25%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Кипр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Ставка повышена с 12,5% до 15% с 2026 года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1"/>
        </w:rPr>
        <w:t>Помимо налога, в пользу Болгарии говорят и операционные факторы:</w:t>
      </w:r>
    </w:p>
    <w:p>
      <w:pPr>
        <w:pStyle w:val="ListBullet"/>
        <w:spacing w:after="60"/>
      </w:pPr>
      <w:r>
        <w:rPr>
          <w:sz w:val="20"/>
        </w:rPr>
        <w:t>Стоимость рабочей силы — самая низкая в Европейском союзе, что снижает издержки операционной и продающей компаний.</w:t>
      </w:r>
    </w:p>
    <w:p>
      <w:pPr>
        <w:pStyle w:val="ListBullet"/>
        <w:spacing w:after="60"/>
      </w:pPr>
      <w:r>
        <w:rPr>
          <w:sz w:val="20"/>
        </w:rPr>
        <w:t>Невысокая стоимость организации и содержания производства и присутствия (офис, персонал, управление) по сравнению с большинством стран ЕС.</w:t>
      </w:r>
    </w:p>
    <w:p>
      <w:pPr>
        <w:pStyle w:val="ListBullet"/>
        <w:spacing w:after="60"/>
      </w:pPr>
      <w:r>
        <w:rPr>
          <w:sz w:val="20"/>
        </w:rPr>
        <w:t>Логистическая близость к ключевым поставщикам: сборка в Чехии, двигатель из Украины, авионика из Израиля — Болгария удобно расположена относительно этих маршрутов и рынков региона.</w:t>
      </w:r>
    </w:p>
    <w:p>
      <w:pPr>
        <w:pStyle w:val="ListBullet"/>
        <w:spacing w:after="60"/>
      </w:pPr>
      <w:r>
        <w:rPr>
          <w:sz w:val="20"/>
        </w:rPr>
        <w:t>Полноценный военно-экспортный режим члена НАТО и ЕС и предсказуемое регулирование.</w:t>
      </w:r>
    </w:p>
    <w:p>
      <w:pPr>
        <w:spacing w:before="160" w:after="40"/>
      </w:pPr>
      <w:r>
        <w:rPr>
          <w:b/>
          <w:color w:val="142647"/>
          <w:sz w:val="22"/>
        </w:rPr>
        <w:t>5.2 Международный минимальный налог</w:t>
      </w:r>
    </w:p>
    <w:p>
      <w:pPr>
        <w:spacing w:after="100"/>
      </w:pPr>
      <w:r>
        <w:rPr>
          <w:sz w:val="21"/>
        </w:rPr>
        <w:t>Базовая ставка — 10%. Правила международного минимального налога (Pillar Two — 15% для крупных групп) применяются к группе с годовой консолидированной выручкой от 750 млн € как минимум в двух из четырёх предыдущих лет. Для проекта это отдалённый сценарий.</w:t>
      </w:r>
    </w:p>
    <w:p>
      <w:pPr>
        <w:spacing w:before="160" w:after="40"/>
      </w:pPr>
      <w:r>
        <w:rPr>
          <w:b/>
          <w:color w:val="142647"/>
          <w:sz w:val="22"/>
        </w:rPr>
        <w:t>5.3 Налоговая нагрузка по шагам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Шаг движения прибыли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Налог</w:t>
            </w:r>
          </w:p>
        </w:tc>
        <w:tc>
          <w:tcPr>
            <w:tcW w:type="dxa" w:w="3249"/>
            <w:shd w:val="clear" w:fill="142647"/>
          </w:tcPr>
          <w:p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Налог на прибыль операционной компании (Болгария)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Одна из самых низких в ЕС; при достижении порога выручки возможна корректировка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Передача прибыли из Болгарии в холдинг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По налоговому соглашению с Великобританией (доля ≥10%, не менее года)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Выплата дивидендов инвесторам из холдинга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Великобритания не удерживает налог на дивиденды ни при каком составе собственников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Продажа долей инвесторами (выход)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ноль*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*На уровне структуры. Налог в стране проживания инвестора — отдельно (раздел 8)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42647"/>
          <w:sz w:val="22"/>
        </w:rPr>
        <w:t>5.4 Иллюстрация: путь 1 млн € прибыли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70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1"/>
        </w:rPr>
        <w:t>Совокупная налоговая нагрузка составляет 10% и формируется только болгарским налогом на прибыль. Налог в стране проживания инвестора в иллюстрации не учтён.</w:t>
      </w:r>
    </w:p>
    <w:p>
      <w:pPr>
        <w:spacing w:after="100"/>
      </w:pPr>
      <w:r>
        <w:rPr>
          <w:sz w:val="21"/>
        </w:rPr>
        <w:t>Для сравнения — сколько дошло бы до инвестора из того же миллиона при менее эффективных конфигурациях: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81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ba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42647"/>
          <w:sz w:val="22"/>
        </w:rPr>
        <w:t>5.5 Правовая основа</w:t>
      </w:r>
    </w:p>
    <w:p>
      <w:pPr>
        <w:spacing w:after="100"/>
      </w:pPr>
      <w:r>
        <w:rPr>
          <w:sz w:val="21"/>
        </w:rPr>
        <w:t>Выводы опираются на конкретные нормы: освобождение дивидендов между компаниями ЕС — Директива Совета 2011/96/ЕС; ноль при передаче из Болгарии в Великобританию — ст. 10 налогового соглашения 2015 года; освобождение дивидендов в Великобритании — ч. 9A Закона о корпоративном налоге 2009 года; освобождение при продаже долей — прил. 7AC к Закону 1992 года; Люксембург — ст. 147 и 166; международный минимальный налог — Директива 2022/2523. Полный перечень — в приложении.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6. Две модели владения правами на разработку</w:t>
      </w:r>
    </w:p>
    <w:p>
      <w:pPr>
        <w:spacing w:after="100"/>
      </w:pPr>
      <w:r>
        <w:rPr>
          <w:sz w:val="21"/>
        </w:rPr>
        <w:t>Под правами на разработку понимаются конструкторская документация, права на самолёт и патенты. Основной считается первая модель.</w:t>
      </w:r>
    </w:p>
    <w:p>
      <w:pPr>
        <w:spacing w:before="160" w:after="40"/>
      </w:pPr>
      <w:r>
        <w:rPr>
          <w:b/>
          <w:color w:val="142647"/>
          <w:sz w:val="22"/>
        </w:rPr>
        <w:t>6.1 Модель 1 — права у операционной компании (рекомендуется)</w:t>
      </w:r>
    </w:p>
    <w:p>
      <w:pPr>
        <w:spacing w:after="100"/>
      </w:pPr>
      <w:r>
        <w:rPr>
          <w:sz w:val="21"/>
        </w:rPr>
        <w:t>Права принадлежат болгарской операционной компании. Прибыль облагается в Болгарии по 10%, поднимается в холдинг дивидендами без удержания и распределяется инвесторам. Лицензионные платежи не возникают.</w:t>
      </w:r>
    </w:p>
    <w:p>
      <w:pPr>
        <w:pStyle w:val="ListBullet"/>
        <w:spacing w:after="60"/>
      </w:pPr>
      <w:r>
        <w:rPr>
          <w:sz w:val="20"/>
        </w:rPr>
        <w:t>Простота: нет лицензий, роялти и сложного учёта; меньше поводов для спора с налоговыми органами.</w:t>
      </w:r>
    </w:p>
    <w:p>
      <w:pPr>
        <w:pStyle w:val="ListBullet"/>
        <w:spacing w:after="60"/>
      </w:pPr>
      <w:r>
        <w:rPr>
          <w:sz w:val="20"/>
        </w:rPr>
        <w:t>Согласованность: права и производство в одной компании, что отвечает международным правилам.</w:t>
      </w:r>
    </w:p>
    <w:p>
      <w:pPr>
        <w:pStyle w:val="ListBullet"/>
        <w:spacing w:after="60"/>
      </w:pPr>
      <w:r>
        <w:rPr>
          <w:sz w:val="20"/>
        </w:rPr>
        <w:t>Надёжность: модель работает независимо от патентоспособности и участия подрядчиков в капитале.</w:t>
      </w:r>
    </w:p>
    <w:p>
      <w:pPr>
        <w:spacing w:before="160" w:after="40"/>
      </w:pPr>
      <w:r>
        <w:rPr>
          <w:b/>
          <w:color w:val="142647"/>
          <w:sz w:val="22"/>
        </w:rPr>
        <w:t>6.2 Модель 2 — права у холдинга (потенциальная оптимизация)</w:t>
      </w:r>
    </w:p>
    <w:p>
      <w:pPr>
        <w:spacing w:after="100"/>
      </w:pPr>
      <w:r>
        <w:rPr>
          <w:sz w:val="21"/>
        </w:rPr>
        <w:t>Холдинг владеет правами, лицензирует их операционной компании и получает роялти. При льготном режиме для доходов от интеллектуальной собственности (IP-box) роялти облагаются по пониженной ставке: Люксембург — около 5,2% (только патенты и защищённое ПО), Нидерланды — около 9%, Великобритания и Ирландия — 10%. Применимость зависит от патентоспособности и независимости подрядчиков; для авиапроектов чаще работает только Модель 1.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7. Риски и условия, от которых зависит результат</w:t>
      </w:r>
    </w:p>
    <w:p>
      <w:pPr>
        <w:spacing w:before="160" w:after="40"/>
      </w:pPr>
      <w:r>
        <w:rPr>
          <w:b/>
          <w:color w:val="142647"/>
          <w:sz w:val="22"/>
        </w:rPr>
        <w:t>7.1 Деловая цель структуры</w:t>
      </w:r>
    </w:p>
    <w:p>
      <w:pPr>
        <w:spacing w:after="100"/>
      </w:pPr>
      <w:r>
        <w:rPr>
          <w:sz w:val="21"/>
        </w:rPr>
        <w:t>Налоговые льготы сохраняются только при наличии у структуры реальной деловой цели. У каждого элемента есть самостоятельное обоснование: холдинг объединяет инвесторов и обеспечивает управление и выход; операционная компания несёт реальные функции; продающая компания держит лицензию; сборка в Чехии использует сертифицированный завод; выбор Болгарии обусловлен не только ставкой.</w:t>
      </w:r>
    </w:p>
    <w:p>
      <w:pPr>
        <w:spacing w:before="160" w:after="40"/>
      </w:pPr>
      <w:r>
        <w:rPr>
          <w:b/>
          <w:color w:val="142647"/>
          <w:sz w:val="22"/>
        </w:rPr>
        <w:t>7.2 Реальное присутствие</w:t>
      </w:r>
    </w:p>
    <w:p>
      <w:pPr>
        <w:spacing w:after="100"/>
      </w:pPr>
      <w:r>
        <w:rPr>
          <w:sz w:val="21"/>
        </w:rPr>
        <w:t>Нулевые и пониженные ставки действуют только при реальном присутствии: управлении, персонале, офисе и принятии решений по месту регистрации. Это требует расходов на содержание, которые следует заложить в бюджет.</w:t>
      </w:r>
    </w:p>
    <w:p>
      <w:pPr>
        <w:spacing w:before="160" w:after="40"/>
      </w:pPr>
      <w:r>
        <w:rPr>
          <w:b/>
          <w:color w:val="142647"/>
          <w:sz w:val="22"/>
        </w:rPr>
        <w:t>7.3 Экономика продукта</w:t>
      </w:r>
    </w:p>
    <w:p>
      <w:pPr>
        <w:spacing w:after="100"/>
      </w:pPr>
      <w:r>
        <w:rPr>
          <w:sz w:val="21"/>
        </w:rPr>
        <w:t>Финансовые показатели приведены в части I и отражают оценку инициаторов; они построены на коммерческих допущениях (цена, себестоимость, объёмы сбыта), которые инвестору следует подтвердить. Налоговые выводы применимы при любом уровне прибыли.</w:t>
      </w:r>
    </w:p>
    <w:p>
      <w:pPr>
        <w:spacing w:before="160" w:after="40"/>
      </w:pPr>
      <w:r>
        <w:rPr>
          <w:b/>
          <w:color w:val="142647"/>
          <w:sz w:val="22"/>
        </w:rPr>
        <w:t>7.4 Экспортный контроль</w:t>
      </w:r>
    </w:p>
    <w:p>
      <w:pPr>
        <w:spacing w:after="100"/>
      </w:pPr>
      <w:r>
        <w:rPr>
          <w:sz w:val="21"/>
        </w:rPr>
        <w:t>Экспорт боевых самолётов зависит от государственных лицензий, которые выдаются по усмотрению властей; круг покупателей ограничен. Отдельного внимания требует авионика IAI: она подпадает под израильский экспортный контроль, поэтому при её установке и реэкспорте необходимы разрешения и сертификат конечного пользователя.</w:t>
      </w:r>
    </w:p>
    <w:p>
      <w:pPr>
        <w:spacing w:before="160" w:after="40"/>
      </w:pPr>
      <w:r>
        <w:rPr>
          <w:b/>
          <w:color w:val="142647"/>
          <w:sz w:val="22"/>
        </w:rPr>
        <w:t>7.5 Допуск иностранных собственников к оборонному активу</w:t>
      </w:r>
    </w:p>
    <w:p>
      <w:pPr>
        <w:spacing w:after="100"/>
      </w:pPr>
      <w:r>
        <w:rPr>
          <w:sz w:val="21"/>
        </w:rPr>
        <w:t>Прямого запрета на участие иностранных, в том числе ближневосточных, инвесторов в оборонных авиапроектах НАТО и ЕС не существует. Практика это подтверждает: суверенный фонд Абу-Даби Mubadala несколько лет владел итальянским Piaggio Aerospace; EDGE (ОАЭ) инвестирует в Польше, Эстонии и Швейцарии; Aero Vodochody — в частном владении. Вопрос не в запрете, а в условиях допуска.</w:t>
      </w:r>
    </w:p>
    <w:p>
      <w:pPr>
        <w:spacing w:after="100"/>
      </w:pPr>
      <w:r>
        <w:rPr>
          <w:sz w:val="21"/>
        </w:rPr>
        <w:t>Эти условия задаёт проверка иностранных инвестиций (в ЕС — Регламент 2019/452). В нашей структуре она затрагивает прежде всего Болгарию.</w:t>
      </w:r>
    </w:p>
    <w:p>
      <w:pPr>
        <w:pStyle w:val="ListBullet"/>
        <w:spacing w:after="60"/>
      </w:pPr>
      <w:r>
        <w:rPr>
          <w:sz w:val="20"/>
        </w:rPr>
        <w:t>Болгария — основная страна проверки. Режим введён поправками в Закон о поощрении инвестиций (в силе с 12.03.2024; правила — с 22.07.2025); порог — доля ≥10% или инвестиция &gt;2 млн €. Для инвестора с участием госоргана вне ЕС проверка обязательна; совет выносит решение в срок до 45 рабочих дней.</w:t>
      </w:r>
    </w:p>
    <w:p>
      <w:pPr>
        <w:pStyle w:val="ListBullet"/>
        <w:spacing w:after="60"/>
      </w:pPr>
      <w:r>
        <w:rPr>
          <w:sz w:val="20"/>
        </w:rPr>
        <w:t>Чехия — проверка владения не возникает: завод Aero Vodochody группа не покупает, лишь размещает заказ.</w:t>
      </w:r>
    </w:p>
    <w:p>
      <w:pPr>
        <w:pStyle w:val="ListBullet"/>
        <w:spacing w:after="60"/>
      </w:pPr>
      <w:r>
        <w:rPr>
          <w:sz w:val="20"/>
        </w:rPr>
        <w:t>Польша — значима только если завод второго этапа разместить в Польше.</w:t>
      </w:r>
    </w:p>
    <w:p>
      <w:pPr>
        <w:spacing w:after="100"/>
      </w:pPr>
      <w:r>
        <w:rPr>
          <w:sz w:val="21"/>
        </w:rPr>
        <w:t>Согласование иностранного владения — плановый этап запуска, а не препятствие. Чтобы пройти его уверенно, применяют отработанную в оборонной практике схему разделения экономического участия и контроля (в США — режим FOCI):</w:t>
      </w:r>
    </w:p>
    <w:p>
      <w:pPr>
        <w:pStyle w:val="ListBullet"/>
        <w:spacing w:after="60"/>
      </w:pPr>
      <w:r>
        <w:rPr>
          <w:sz w:val="20"/>
        </w:rPr>
        <w:t>Инвесторы вне НАТО получают экономическое участие, но не контроль; для этого вводятся акции с ограниченным правом голоса.</w:t>
      </w:r>
    </w:p>
    <w:p>
      <w:pPr>
        <w:pStyle w:val="ListBullet"/>
        <w:spacing w:after="60"/>
      </w:pPr>
      <w:r>
        <w:rPr>
          <w:sz w:val="20"/>
        </w:rPr>
        <w:t>Контроль над компанией-лицензиатом закрепляется за лицами из стран НАТО и ЕС: специальный класс акций, право вето, директора с допуском, соглашение о безопасности.</w:t>
      </w:r>
    </w:p>
    <w:p>
      <w:pPr>
        <w:pStyle w:val="ListBullet"/>
        <w:spacing w:after="60"/>
      </w:pPr>
      <w:r>
        <w:rPr>
          <w:sz w:val="20"/>
        </w:rPr>
        <w:t>Предварительная консультация с болгарским регулятором проводится в начале проекта.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16024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contr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02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F5F5F"/>
          <w:sz w:val="16"/>
        </w:rPr>
        <w:t>Разделение экономического участия и контроля: прибыль получают все инвесторы, а управление компанией-лицензиатом остаётся за лицами из стран НАТО и ЕС.</w:t>
      </w:r>
    </w:p>
    <w:p>
      <w:pPr>
        <w:spacing w:before="160" w:after="40"/>
      </w:pPr>
      <w:r>
        <w:rPr>
          <w:b/>
          <w:color w:val="142647"/>
          <w:sz w:val="22"/>
        </w:rPr>
        <w:t>7.6 В какой стране оформляется экспортная лицензия</w:t>
      </w:r>
    </w:p>
    <w:p>
      <w:pPr>
        <w:spacing w:after="100"/>
      </w:pPr>
      <w:r>
        <w:rPr>
          <w:sz w:val="21"/>
        </w:rPr>
        <w:t>Размещение лицензии в болгарской компании не решает вопрос автоматически. По Директиве 2009/43/ЕС (ст. 10) при экспорте товара за пределы ЕС получатель обязан соблюсти экспортные ограничения страны происхождения и при необходимости получить её согласие. Поскольку самолёт собирается в Чехии, чешские правила применяются и при продаже через Болгарию. Порядок лицензирования согласуется с чешским и болгарским регуляторами.</w:t>
      </w:r>
    </w:p>
    <w:p>
      <w:pPr>
        <w:spacing w:before="160" w:after="40"/>
      </w:pPr>
      <w:r>
        <w:rPr>
          <w:b/>
          <w:color w:val="142647"/>
          <w:sz w:val="22"/>
        </w:rPr>
        <w:t>7.7 Коммерческие допущения</w:t>
      </w:r>
    </w:p>
    <w:p>
      <w:pPr>
        <w:spacing w:after="100"/>
      </w:pPr>
      <w:r>
        <w:rPr>
          <w:sz w:val="21"/>
        </w:rPr>
        <w:t>Структура первого этапа предполагает согласие завода Aero Vodochody на сборку по заказу группы и исполнение обязательств ключевыми поставщиками; эти договорённости должны быть закреплены договорами.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8. Границы меморандума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42647"/>
          </w:tcPr>
          <w:p>
            <w:r>
              <w:rPr>
                <w:b/>
                <w:color w:val="FFFFFF"/>
                <w:sz w:val="17"/>
              </w:rPr>
              <w:t>Что охватывает меморандум</w:t>
            </w:r>
          </w:p>
        </w:tc>
        <w:tc>
          <w:tcPr>
            <w:tcW w:type="dxa" w:w="4873"/>
            <w:shd w:val="clear" w:fill="142647"/>
          </w:tcPr>
          <w:p>
            <w:r>
              <w:rPr>
                <w:b/>
                <w:color w:val="FFFFFF"/>
                <w:sz w:val="17"/>
              </w:rPr>
              <w:t>Что требует отдельной проработки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Выбор юрисдикций для холдинга, операционной и продающей компаний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Независимая проверка финансовой модели и коммерческих допущений (часть I)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Движение прибыли и налог у источника на уровне структуры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Налог инвестора в стране его проживания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Налогообложение инвесторов при распределении и выходе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Защита прав инвесторов: акционерное соглашение, права меньшинства, выход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Принципиальная допустимость структуры поставок (раздел 7.6)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Допуск иностранных собственников к оборонному активу (раздел 7.5)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Корпоративный налог, дивиденды, роялти, прирост капитала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Прочие налоги (НДС, удержания по услугам), стоимость присутствия</w:t>
            </w:r>
          </w:p>
        </w:tc>
      </w:tr>
    </w:tbl>
    <w:p>
      <w:pPr>
        <w:spacing w:after="40"/>
      </w:pPr>
    </w:p>
    <w:p>
      <w:r>
        <w:rPr>
          <w:i/>
          <w:color w:val="5F5F5F"/>
          <w:sz w:val="17"/>
        </w:rPr>
        <w:t>Настоящий меморандум подготовлен для предварительного обсуждения с инвесторами и не является окончательной налоговой или юридической консультацией. Ставки и правовые выводы приведены по состоянию на 2026 год; отдельные параметры подлежат подтверждению местными консультантами при внедрении структуры.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9. Акционерное соглашение: ключевые условия</w:t>
      </w:r>
    </w:p>
    <w:p>
      <w:pPr>
        <w:spacing w:after="100"/>
      </w:pPr>
      <w:r>
        <w:rPr>
          <w:sz w:val="21"/>
        </w:rPr>
        <w:t>Раздел задаёт каркас отношений между инвесторами и инициаторами на уровне холдинга. Это перечень ключевых условий для последующей детальной проработки юристами.</w:t>
      </w:r>
    </w:p>
    <w:p>
      <w:pPr>
        <w:spacing w:before="160" w:after="40"/>
      </w:pPr>
      <w:r>
        <w:rPr>
          <w:b/>
          <w:color w:val="142647"/>
          <w:sz w:val="22"/>
        </w:rPr>
        <w:t>9.1 Стороны и капитал</w:t>
      </w:r>
    </w:p>
    <w:p>
      <w:pPr>
        <w:pStyle w:val="ListBullet"/>
        <w:spacing w:after="60"/>
      </w:pPr>
      <w:r>
        <w:rPr>
          <w:sz w:val="20"/>
        </w:rPr>
        <w:t>Стороны — инвесторы и инициаторы проекта как акционеры британского холдинга.</w:t>
      </w:r>
    </w:p>
    <w:p>
      <w:pPr>
        <w:pStyle w:val="ListBullet"/>
        <w:spacing w:after="60"/>
      </w:pPr>
      <w:r>
        <w:rPr>
          <w:sz w:val="20"/>
        </w:rPr>
        <w:t>При необходимости вводятся разные классы акций — чтобы отделить экономическое участие от права контроля.</w:t>
      </w:r>
    </w:p>
    <w:p>
      <w:pPr>
        <w:pStyle w:val="ListBullet"/>
        <w:spacing w:after="60"/>
      </w:pPr>
      <w:r>
        <w:rPr>
          <w:sz w:val="20"/>
        </w:rPr>
        <w:t>Средства вносятся траншами по мере достижения этапов проекта.</w:t>
      </w:r>
    </w:p>
    <w:p>
      <w:pPr>
        <w:spacing w:before="160" w:after="40"/>
      </w:pPr>
      <w:r>
        <w:rPr>
          <w:b/>
          <w:color w:val="142647"/>
          <w:sz w:val="22"/>
        </w:rPr>
        <w:t>9.2 Управление</w:t>
      </w:r>
    </w:p>
    <w:p>
      <w:pPr>
        <w:pStyle w:val="ListBullet"/>
        <w:spacing w:after="60"/>
      </w:pPr>
      <w:r>
        <w:rPr>
          <w:sz w:val="20"/>
        </w:rPr>
        <w:t>Совет директоров: представители инвесторов и инициаторов и независимый директор; для оборонных и экспортных решений — директор из стран НАТО и ЕС с допуском к гостайне.</w:t>
      </w:r>
    </w:p>
    <w:p>
      <w:pPr>
        <w:pStyle w:val="ListBullet"/>
        <w:spacing w:after="60"/>
      </w:pPr>
      <w:r>
        <w:rPr>
          <w:sz w:val="20"/>
        </w:rPr>
        <w:t>Квалифицированное большинство / вето по важнейшим вопросам: бюджет и крупные вложения, займы, эмиссия, сделки со связанными сторонами, передача прав на разработку, смена контроля, выбор экспортных рынков, M&amp;A, ликвидация.</w:t>
      </w:r>
    </w:p>
    <w:p>
      <w:pPr>
        <w:pStyle w:val="ListBullet"/>
        <w:spacing w:after="60"/>
      </w:pPr>
      <w:r>
        <w:rPr>
          <w:sz w:val="20"/>
        </w:rPr>
        <w:t>За операционную реализацию отвечают инициаторы; предусматриваются удержание ключевых лиц и постепенное закрепление их долей.</w:t>
      </w:r>
    </w:p>
    <w:p>
      <w:pPr>
        <w:spacing w:before="160" w:after="40"/>
      </w:pPr>
      <w:r>
        <w:rPr>
          <w:b/>
          <w:color w:val="142647"/>
          <w:sz w:val="22"/>
        </w:rPr>
        <w:t>9.3 Защита миноритарных инвесторов и переход долей</w:t>
      </w:r>
    </w:p>
    <w:p>
      <w:pPr>
        <w:pStyle w:val="ListBullet"/>
        <w:spacing w:after="60"/>
      </w:pPr>
      <w:r>
        <w:rPr>
          <w:sz w:val="20"/>
        </w:rPr>
        <w:t>Право на информацию, защита от размывания, право присоединиться к продаже на равных условиях.</w:t>
      </w:r>
    </w:p>
    <w:p>
      <w:pPr>
        <w:pStyle w:val="ListBullet"/>
        <w:spacing w:after="60"/>
      </w:pPr>
      <w:r>
        <w:rPr>
          <w:sz w:val="20"/>
        </w:rPr>
        <w:t>Ограничения на отчуждение: запрет продажи на срок, право первоочередного выкупа.</w:t>
      </w:r>
    </w:p>
    <w:p>
      <w:pPr>
        <w:pStyle w:val="ListBullet"/>
        <w:spacing w:after="60"/>
      </w:pPr>
      <w:r>
        <w:rPr>
          <w:sz w:val="20"/>
        </w:rPr>
        <w:t>Любая передача доли — только при прохождении проверки иностранных инвестиций и сохранении допуска к лицензии.</w:t>
      </w:r>
    </w:p>
    <w:p>
      <w:pPr>
        <w:spacing w:before="160" w:after="40"/>
      </w:pPr>
      <w:r>
        <w:rPr>
          <w:b/>
          <w:color w:val="142647"/>
          <w:sz w:val="22"/>
        </w:rPr>
        <w:t>9.4 Выход и разрешение тупиковых ситуаций</w:t>
      </w:r>
    </w:p>
    <w:p>
      <w:pPr>
        <w:pStyle w:val="ListBullet"/>
        <w:spacing w:after="60"/>
      </w:pPr>
      <w:r>
        <w:rPr>
          <w:sz w:val="20"/>
        </w:rPr>
        <w:t>Выход — публичное размещение или продажа стратегу; при квалифицированном большинстве миноритарии присоединяются к продаже.</w:t>
      </w:r>
    </w:p>
    <w:p>
      <w:pPr>
        <w:pStyle w:val="ListBullet"/>
        <w:spacing w:after="60"/>
      </w:pPr>
      <w:r>
        <w:rPr>
          <w:sz w:val="20"/>
        </w:rPr>
        <w:t>Тупики разрешаются через эскалацию, посредничество и опционы выкупа долей.</w:t>
      </w:r>
    </w:p>
    <w:p>
      <w:pPr>
        <w:spacing w:before="160" w:after="40"/>
      </w:pPr>
      <w:r>
        <w:rPr>
          <w:b/>
          <w:color w:val="142647"/>
          <w:sz w:val="22"/>
        </w:rPr>
        <w:t>9.5 Применимое право и предварительные условия</w:t>
      </w:r>
    </w:p>
    <w:p>
      <w:pPr>
        <w:pStyle w:val="ListBullet"/>
        <w:spacing w:after="60"/>
      </w:pPr>
      <w:r>
        <w:rPr>
          <w:sz w:val="20"/>
        </w:rPr>
        <w:t>Применимое право — английское; споры — международный арбитраж.</w:t>
      </w:r>
    </w:p>
    <w:p>
      <w:pPr>
        <w:pStyle w:val="ListBullet"/>
        <w:spacing w:after="60"/>
      </w:pPr>
      <w:r>
        <w:rPr>
          <w:sz w:val="20"/>
        </w:rPr>
        <w:t>Ковенанты по экспортному контролю и санкциям; прозрачность бенефициарного владения.</w:t>
      </w:r>
    </w:p>
    <w:p>
      <w:pPr>
        <w:pStyle w:val="ListBullet"/>
        <w:spacing w:after="60"/>
      </w:pPr>
      <w:r>
        <w:rPr>
          <w:sz w:val="20"/>
        </w:rPr>
        <w:t>Условия закрытия: разрешение болгарского регулятора, согласованный порядок экспортного лицензирования, договоры с Aero Vodochody, IAI и поставщиками двигателя.</w:t>
      </w:r>
    </w:p>
    <w:p>
      <w:pPr>
        <w:spacing w:before="200"/>
        <w:pBdr>
          <w:bottom w:val="single" w:sz="6" w:space="2" w:color="142647"/>
        </w:pBdr>
      </w:pPr>
      <w:r>
        <w:rPr>
          <w:b/>
          <w:color w:val="142647"/>
          <w:sz w:val="30"/>
        </w:rPr>
        <w:t>Приложение. Правовые источники</w:t>
      </w:r>
    </w:p>
    <w:p>
      <w:pPr>
        <w:spacing w:after="100"/>
      </w:pPr>
      <w:r>
        <w:rPr>
          <w:sz w:val="21"/>
        </w:rPr>
        <w:t>Первичные правовые акты с указанием статей; сверены по официальным текстам и подлежат подтверждению местными юристами.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42647"/>
          </w:tcPr>
          <w:p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873"/>
            <w:shd w:val="clear" w:fill="142647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Освобождение дивидендов между компаниями ЕС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Директива Совета 2011/96/ЕС от 30.11.2011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Освобождение роялти между компаниями ЕС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Директива Совета 2003/49/ЕС: ст. 3 (порог 25%), ст. 1(10) (срок до 2 лет)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Международный минимальный налог (15%)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Директива Совета (ЕС) 2022/2523 от 14.12.2022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Болгария → Великобритания, дивиденды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Соглашение 2015 года (SI 2015/1891), статья 10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Великобритания: освобождение дивидендов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корпоративном налоге 2009 года, часть 9A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Великобритания: освобождение при продаже долей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налоге на прирост капитала 1992 года, приложение 7AC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Люксембург: освобождение участия / удержание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подоходном налоге (LIR), статьи 166 и 147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Болгария: налог на прибыль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корпоративном подоходном налоге, статья 20 — 10%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Проверка иностранных инвестиций (ЕС)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Регламент (ЕС) 2019/452 от 19.03.2019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Проверка иностранных инвестиций (Болгария)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о поощрении инвестиций (в силе с 12.03.2024; правила — 22.07.2025)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Проверка иностранных инвестиций (Чехия)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Закон № 34/2021 Coll. (в силе с 01.05.2021)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Передача оборонной продукции внутри ЕС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Директива 2009/43/ЕС, статья 10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Защита инвестиций (примеры договоров)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Великобритания—Болгария (1995), —Чехия (1990); инвестор→холдинг: UK—ОАЭ (1992), BLEU—ОАЭ (2004), —Саудовская Аравия (2001)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5"/>
      </w:rPr>
      <w:t>Инвестиционный меморандум · проект STRIKER · конфиденциально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