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2A4A"/>
          <w:sz w:val="32"/>
        </w:rPr>
        <w:t>6. Две модели владения правами на разработку</w:t>
      </w:r>
    </w:p>
    <w:p>
      <w:pPr>
        <w:spacing w:after="120"/>
        <w:jc w:val="both"/>
      </w:pPr>
      <w:r>
        <w:t>Под правами на разработку понимаются:</w:t>
      </w:r>
    </w:p>
    <w:p>
      <w:pPr>
        <w:pStyle w:val="ListBullet"/>
        <w:spacing w:after="80"/>
        <w:jc w:val="both"/>
      </w:pPr>
      <w:r>
        <w:rPr>
          <w:b/>
        </w:rPr>
        <w:t>Конструкторская документация и ноу-хау</w:t>
      </w:r>
      <w:r>
        <w:t xml:space="preserve"> по разработанной конфигурации F/A-259U — авторские права на чертежи и спецификации, незапатентованные технические решения и производственные секреты.</w:t>
      </w:r>
    </w:p>
    <w:p>
      <w:pPr>
        <w:pStyle w:val="ListBullet"/>
        <w:spacing w:after="80"/>
        <w:jc w:val="both"/>
      </w:pPr>
      <w:r>
        <w:rPr>
          <w:b/>
        </w:rPr>
        <w:t>Регистрируемые объекты промышленной собственности</w:t>
      </w:r>
      <w:r>
        <w:t xml:space="preserve"> — патенты на изобретения, полезные модели и промышленные образцы по отдельным техническим и конструктивным решениям.</w:t>
      </w:r>
    </w:p>
    <w:p>
      <w:pPr>
        <w:pStyle w:val="ListBullet"/>
        <w:spacing w:after="80"/>
        <w:jc w:val="both"/>
      </w:pPr>
      <w:r>
        <w:rPr>
          <w:b/>
        </w:rPr>
        <w:t>Статус разработчика и держателя типовой сертификации</w:t>
      </w:r>
      <w:r>
        <w:t xml:space="preserve"> — одобрение разработчика (DOA) как организации и держание сертификата типа (или оформленных изменений к нему) на конфигурацию F/A-259U; базовая платформа при этом сертифицирована и лицензируется у Aero Vodochody.</w:t>
      </w:r>
    </w:p>
    <w:p>
      <w:pPr>
        <w:pStyle w:val="ListBullet"/>
        <w:spacing w:after="80"/>
        <w:jc w:val="both"/>
      </w:pPr>
      <w:r>
        <w:rPr>
          <w:b/>
        </w:rPr>
        <w:t>Право на серийное изготовление и продажу</w:t>
      </w:r>
      <w:r>
        <w:t xml:space="preserve"> самолётов данного типа.</w:t>
      </w:r>
    </w:p>
    <w:p>
      <w:pPr>
        <w:pStyle w:val="ListBullet"/>
        <w:spacing w:after="80"/>
        <w:jc w:val="both"/>
      </w:pPr>
      <w:r>
        <w:rPr>
          <w:b/>
        </w:rPr>
        <w:t>Товарный знак</w:t>
      </w:r>
      <w:r>
        <w:t xml:space="preserve"> «STRIKER» (обозначение F/A-259U).</w:t>
      </w:r>
    </w:p>
    <w:p>
      <w:pPr>
        <w:spacing w:after="120"/>
        <w:jc w:val="both"/>
      </w:pPr>
      <w:r>
        <w:t>От того, в какой компании закреплены эти права, зависит, где формируется прибыль и насколько простой и устойчивой к проверкам будет структура. Основной считается первая модель.</w:t>
      </w:r>
    </w:p>
    <w:p>
      <w:r>
        <w:rPr>
          <w:b/>
          <w:color w:val="1B2A4A"/>
          <w:sz w:val="30"/>
        </w:rPr>
        <w:t>6.1 Модель 1 — права у операционной компании (рекомендуется)</w:t>
      </w:r>
    </w:p>
    <w:p>
      <w:pPr>
        <w:spacing w:after="120"/>
        <w:jc w:val="both"/>
      </w:pPr>
      <w:r>
        <w:t>Права закрепляются за болгарской операционной компанией (PrincipalCo) — там же, где находятся статус OEM и роль держателя типовой сертификации. Прибыль облагается в Болгарии по ставке 10%, поднимается в холдинг дивидендами без удержания и распределяется инвесторам; внутригрупповых лицензионных платежей и роялти не возникает.</w:t>
      </w:r>
    </w:p>
    <w:p>
      <w:pPr>
        <w:pStyle w:val="ListBullet"/>
        <w:spacing w:after="80"/>
        <w:jc w:val="both"/>
      </w:pPr>
      <w:r>
        <w:rPr>
          <w:b/>
        </w:rPr>
        <w:t>Простота.</w:t>
      </w:r>
      <w:r>
        <w:t xml:space="preserve"> Нет лицензионных договоров, роялти и связанного с ними учёта и трансфертного ценообразования — меньше точек для спора с налоговыми органами.</w:t>
      </w:r>
    </w:p>
    <w:p>
      <w:pPr>
        <w:pStyle w:val="ListBullet"/>
        <w:spacing w:after="80"/>
        <w:jc w:val="both"/>
      </w:pPr>
      <w:r>
        <w:rPr>
          <w:b/>
        </w:rPr>
        <w:t>Согласованность с международными правилами.</w:t>
      </w:r>
      <w:r>
        <w:t xml:space="preserve"> Права и производственная (OEM) функция сосредоточены в одной компании. Это отвечает подходу ОЭСР, по которому прибыль от интеллектуальной собственности должна формироваться там, где реально выполняются функции по её разработке и использованию (DEMPE): на первом этапе именно PrincipalCo как OEM заказывает сборку, владеет документацией и несёт риски.</w:t>
      </w:r>
    </w:p>
    <w:p>
      <w:pPr>
        <w:pStyle w:val="ListBullet"/>
        <w:spacing w:after="80"/>
        <w:jc w:val="both"/>
      </w:pPr>
      <w:r>
        <w:rPr>
          <w:b/>
        </w:rPr>
        <w:t>Надёжность.</w:t>
      </w:r>
      <w:r>
        <w:t xml:space="preserve"> Модель работает независимо от патентоспособности отдельных решений и от того, входят ли подрядчики (Aero Vodochody, поставщики двигателя и авионики) в капитал группы.</w:t>
      </w:r>
    </w:p>
    <w:p>
      <w:pPr>
        <w:pStyle w:val="ListBullet"/>
        <w:spacing w:after="80"/>
        <w:jc w:val="both"/>
      </w:pPr>
      <w:r>
        <w:rPr>
          <w:b/>
        </w:rPr>
        <w:t>Устойчивость к смене этапа.</w:t>
      </w:r>
      <w:r>
        <w:t xml:space="preserve"> При переходе ко второму этапу (собственный завод на базе PrincipalCo) права остаются на месте — перестройка структуры владения не требуется (раздел 3.2).</w:t>
      </w:r>
    </w:p>
    <w:p>
      <w:r>
        <w:rPr>
          <w:b/>
          <w:color w:val="1B2A4A"/>
          <w:sz w:val="30"/>
        </w:rPr>
        <w:t>6.2 Модель 2 — права у холдинга (потенциальная оптимизация)</w:t>
      </w:r>
    </w:p>
    <w:p>
      <w:pPr>
        <w:spacing w:after="120"/>
        <w:jc w:val="both"/>
      </w:pPr>
      <w:r>
        <w:t>Холдинг владеет правами, лицензирует их операционной компании и получает роялти. При льготном режиме для доходов от интеллектуальной собственности (IP-box) роялти облагаются по пониженной эффективной ставке: Люксембург — около 5,2% (только патенты и защищённое ПО), Нидерланды — около 9%, Великобритания (Patent Box) и Ирландия — 10%. Поскольку рекомендован британский холдинг, на практике речь шла бы о Patent Box Великобритании (10%, только запатентованные решения).</w:t>
      </w:r>
    </w:p>
    <w:p>
      <w:pPr>
        <w:spacing w:after="120"/>
        <w:jc w:val="both"/>
      </w:pPr>
      <w:r>
        <w:t>Модель привлекательна теоретически, но для нашего проекта её эффект ограничен, а риски выше:</w:t>
      </w:r>
    </w:p>
    <w:p>
      <w:pPr>
        <w:pStyle w:val="ListBullet"/>
        <w:spacing w:after="80"/>
        <w:jc w:val="both"/>
      </w:pPr>
      <w:r>
        <w:rPr>
          <w:b/>
        </w:rPr>
        <w:t>Nexus-ограничение.</w:t>
      </w:r>
      <w:r>
        <w:t xml:space="preserve"> По общему для ЕС «модифицированному подходу взаимосвязи» (BEPS, Действие 5) льгота применяется лишь к той части дохода, которая приходится на собственные разработки группы. Платформа лицензируется у Aero Vodochody, авионика — у IAI, двигатель — украинского производства; значительная часть интеллектуальной собственности приобретена или лицензирована вовне, поэтому доля дохода под льготой невелика.</w:t>
      </w:r>
    </w:p>
    <w:p>
      <w:pPr>
        <w:pStyle w:val="ListBullet"/>
        <w:spacing w:after="80"/>
        <w:jc w:val="both"/>
      </w:pPr>
      <w:r>
        <w:rPr>
          <w:b/>
        </w:rPr>
        <w:t>Состав квалифицирующих прав.</w:t>
      </w:r>
      <w:r>
        <w:t xml:space="preserve"> Под IP-box подпадают патенты и функционально эквивалентные им права (в том числе полезные модели), но не промышленные образцы и не ноу-хау; к тому же для интеграционного авиапроекта патентоспособность отдельных узлов не гарантирована.</w:t>
      </w:r>
    </w:p>
    <w:p>
      <w:pPr>
        <w:pStyle w:val="ListBullet"/>
        <w:spacing w:after="80"/>
        <w:jc w:val="both"/>
      </w:pPr>
      <w:r>
        <w:rPr>
          <w:b/>
        </w:rPr>
        <w:t>Усложнение и риск спора.</w:t>
      </w:r>
      <w:r>
        <w:t xml:space="preserve"> Появляются лицензионный договор, поток роялти из Болгарии в холдинг и обязанность обосновать его рыночность (трансфертное ценообразование). Это прямо противоречит требованиям деловой цели и реального присутствия (разделы 7.1, 7.2) и даёт налоговым органам дополнительные поводы для оспаривания.</w:t>
      </w:r>
    </w:p>
    <w:p>
      <w:pPr>
        <w:jc w:val="both"/>
      </w:pPr>
      <w:r>
        <w:rPr>
          <w:b/>
        </w:rPr>
        <w:t>Вывод.</w:t>
      </w:r>
      <w:r>
        <w:t xml:space="preserve"> Для авиапроекта с лицензированной платформой и покупными ключевыми компонентами выигрыш Модели 2 невелик и не покрывает её сложности и рисков. Рекомендуется Модель 1; к Модели 2 имеет смысл вернуться лишь если в будущем у группы появятся собственные патентоспособные разработки, созданные её силами.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