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NovaMono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26"/>
          <w:szCs w:val="26"/>
          <w:rtl w:val="0"/>
        </w:rPr>
        <w:t xml:space="preserve">МЕМОРАНДУМ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20"/>
          <w:szCs w:val="20"/>
          <w:rtl w:val="0"/>
        </w:rPr>
        <w:t xml:space="preserve">КОНФИДЕНЦИАЛЬНО · Проект F/A-259U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68"/>
          <w:szCs w:val="68"/>
          <w:rtl w:val="0"/>
        </w:rPr>
        <w:t xml:space="preserve">«STRIKER»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color w:val="142647"/>
          <w:sz w:val="24"/>
          <w:szCs w:val="24"/>
          <w:rtl w:val="0"/>
        </w:rPr>
        <w:t xml:space="preserve">Структурирование п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роизводств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а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и поставк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и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лёгкого многоцелевого боевого и учебно-боевого самолёта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: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 проект, экономика и структура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18"/>
          <w:szCs w:val="18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Резюме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Проект STRIKER - серийное производство и поставка лёгкого многоцелевого боевого и учебно-боевого самолёта F/A-259U. Самолёт построен на проверенной сертифицированной платформе чешского производителя Aero Vodochody, оснащён новым крылом, современной авионикой и двигателем. Он ориентирован на растущий мировой спрос на доступные боевые и учебно-боевые машины и на оборонное сотрудничество в рамках НАТО и ЕС; производство - на территории ЕС.</w:t>
      </w:r>
    </w:p>
    <w:p w:rsidR="00000000" w:rsidDel="00000000" w:rsidP="00000000" w:rsidRDefault="00000000" w:rsidRPr="00000000" w14:paraId="0000000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Экономика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США, вкладывается поэтапно в течение трёх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48 самолётов в год, всего не менее 300 машин.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Плановая ц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Ч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Совокупная чистая прибыль проекта на серийной фазе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О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риентировочная окупаемость — около восьмого года с начала финансирования.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Структура владения проектом</w:t>
      </w:r>
    </w:p>
    <w:p w:rsidR="00000000" w:rsidDel="00000000" w:rsidP="00000000" w:rsidRDefault="00000000" w:rsidRPr="00000000" w14:paraId="00000016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Сертификат Типа; управление и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(1й этап - на Aero Vodochody, 2й этап - собственная сборка)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Инвесторы владеют проектом через холдинг в Великобритании; Холдинг владеет двумя болгарскими компаниями (производство и продажи). На первом этапе сборку выполняет независимый чешский завод Aero Vodochody.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Налоговый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Прибыль облагается налогом только один раз </w:t>
      </w:r>
      <w:r w:rsidDel="00000000" w:rsidR="00000000" w:rsidRPr="00000000">
        <w:rPr>
          <w:rtl w:val="0"/>
        </w:rPr>
        <w:t xml:space="preserve">на уровне</w:t>
      </w:r>
      <w:r w:rsidDel="00000000" w:rsidR="00000000" w:rsidRPr="00000000">
        <w:rPr>
          <w:sz w:val="21"/>
          <w:szCs w:val="21"/>
          <w:rtl w:val="0"/>
        </w:rPr>
        <w:t xml:space="preserve"> Болгарии по ставке корпоративного налога 10%, одной из самых низких в Европейском союзе. При передаче прибыли вверх в холдинг и далее инвесторам налог у источника не возникает. В результате из каждого миллиона операционной прибыли до инвестор</w:t>
      </w:r>
      <w:r w:rsidDel="00000000" w:rsidR="00000000" w:rsidRPr="00000000">
        <w:rPr>
          <w:rtl w:val="0"/>
        </w:rPr>
        <w:t xml:space="preserve">ов</w:t>
      </w:r>
      <w:r w:rsidDel="00000000" w:rsidR="00000000" w:rsidRPr="00000000">
        <w:rPr>
          <w:sz w:val="21"/>
          <w:szCs w:val="21"/>
          <w:rtl w:val="0"/>
        </w:rPr>
        <w:t xml:space="preserve"> доходит около 900 тысяч</w:t>
      </w:r>
      <w:r w:rsidDel="00000000" w:rsidR="00000000" w:rsidRPr="00000000">
        <w:rPr>
          <w:rtl w:val="0"/>
        </w:rPr>
        <w:t xml:space="preserve"> (9/10 чистой прибыли)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Регуляторные шаги на старте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реализуема: иностранное владение оборонными авиапроизводителями в НАТО и ЕС допускается, что подтверждается прецедентами (раздел 7.5).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1"/>
          <w:szCs w:val="21"/>
          <w:rtl w:val="0"/>
        </w:rPr>
        <w:t xml:space="preserve">Получение необходимых согласований </w:t>
      </w:r>
      <w:r w:rsidDel="00000000" w:rsidR="00000000" w:rsidRPr="00000000">
        <w:rPr>
          <w:rtl w:val="0"/>
        </w:rPr>
        <w:t xml:space="preserve">для экспорта и производства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является приоритетом</w:t>
      </w:r>
      <w:r w:rsidDel="00000000" w:rsidR="00000000" w:rsidRPr="00000000">
        <w:rPr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Регуляторное с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огласование </w:t>
      </w:r>
      <w:r w:rsidDel="00000000" w:rsidR="00000000" w:rsidRPr="00000000">
        <w:rPr>
          <w:sz w:val="20"/>
          <w:szCs w:val="20"/>
          <w:rtl w:val="0"/>
        </w:rPr>
        <w:t xml:space="preserve">структуры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владения, </w:t>
      </w:r>
      <w:r w:rsidDel="00000000" w:rsidR="00000000" w:rsidRPr="00000000">
        <w:rPr>
          <w:sz w:val="20"/>
          <w:szCs w:val="20"/>
          <w:rtl w:val="0"/>
        </w:rPr>
        <w:t xml:space="preserve">с учетом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реальных участников и инвесторов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Получение военно-экспортной лицензии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Закрепление контроля над компанией-лицензиатом за лицами из стран НАТО и ЕС — стандартная отраслевая практика (разделы 7.5 и 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Проект и экономика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А. Инвестиционная теза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Цель проекта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создать серийное производство современного лёгкого боевого самолёта и вывести его на мировой рынок. Спрос на лёгкие боевые и учебно-боевые машины устойчиво растёт: государства обновляют устаревшие парки и ищут доступную альтернативу тяжёлым истребителям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 близкими боевыми возможностями, но кратно меньшей стоимостью приобретения и эксплуатации.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Доступная многоцелевая платформа: непосредственная авиационная поддержка, воздушный бой, разведка, радиоэлектронная борьба и продвинутая подготовка лётчиков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 одном самолёте.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Умеренные капитальные вложения относительно тяжёлых платформ при высокой совокупной прибыли и приемлемом сроке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Производство и поставки из стран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членов НАТО и ЕС; интеграция в оборонное сотрудничество в рамках этих объединений.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Опора на готовый производственный опыт и проверенных мировых поставщиков.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Б. Продукт: F/A-259U STRIKER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F/A-259U «STRIKER»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лёгкий многоцелевой ударный и учебно-боевой самолёт. Он построен на проверенной сертифицированной платформе чешского производителя Aero Vodochody, оснащён новым крылом, современной авионикой и двигателем. Состав бортового оборудования позволяет выполнять широкий круг боевых задач и одновременно служить платформой для продвинутой подготовки лётчиков.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Боевые возможности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Непосредственная авиационная поддержка (CAS), воздушный бой и противовоздушные операции.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Разведка, наблюдение и целеуказание (ISR); радиоэлектронная борьба.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Продвинутая и переходная подготовка лётчиков (LIFT), совместимая с подготовкой на F-16 и F-35.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особенности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Современный радар с активной фазированной антенной решёткой; авионика открытой архитектуры с передачей данных в реальном времени (Link 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Семь точек подвески, интеграция широкого спектра управляемого и неуправляемого вооружения; контейнеры целеуказания.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Высокая живучесть: бронирование кабины, системы предупреждения, катапультное кресло; эксплуатация с неподготовленных полос; дозаправка в воздухе (опционально).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Цифровая кабина, бортовые системы контроля и диагностики; экономичная эксплуатация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Основные характеристики</w:t>
      </w: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800"/>
        <w:gridCol w:w="2265"/>
        <w:gridCol w:w="3495"/>
        <w:tblGridChange w:id="0">
          <w:tblGrid>
            <w:gridCol w:w="2160"/>
            <w:gridCol w:w="1800"/>
            <w:gridCol w:w="2265"/>
            <w:gridCol w:w="34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3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5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6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Размах крыла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9,54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скорость (у земли)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936 км/ч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Длина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12,72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Практический потолок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13 200 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взлётная масса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8 300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Боевые перегрузки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200" w:lineRule="auto"/>
              <w:rPr/>
            </w:pPr>
            <w:sdt>
              <w:sdtPr>
                <w:id w:val="111877312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+8 / −4 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Полезная нагрузка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 3 000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Двигатель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АI-322F с форсажем, FADEC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В. Финансовые показатели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Расчёты выполнены консервативно: заложены максимально возможные издержки и минимальная прибыль; доходы от планового ремонта и обслуживания уже поставленного парка в модель не включены. Приведённые величины отражают оценку </w:t>
      </w:r>
      <w:r w:rsidDel="00000000" w:rsidR="00000000" w:rsidRPr="00000000">
        <w:rPr>
          <w:rtl w:val="0"/>
        </w:rPr>
        <w:t xml:space="preserve">организаторов проекта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США; инвестиции вкладыва</w:t>
      </w:r>
      <w:r w:rsidDel="00000000" w:rsidR="00000000" w:rsidRPr="00000000">
        <w:rPr>
          <w:sz w:val="20"/>
          <w:szCs w:val="20"/>
          <w:rtl w:val="0"/>
        </w:rPr>
        <w:t xml:space="preserve">ю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тся поэтапно: 1-й год — 150 млн, 2-й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170 млн, 3-й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100 млн.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долларов; себестоимость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20 млн; чистая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выходит на 48 самолётов в год, всего не менее 300 машин; совокупная чистая прибыль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Окупаемость зависит от сценария: в базовом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восьмого года с начала финансирования, в консервативном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десятого.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Базовый сценарий — финансовая модель по годам (млн долларов США)</w:t>
      </w:r>
      <w:r w:rsidDel="00000000" w:rsidR="00000000" w:rsidRPr="00000000">
        <w:rPr>
          <w:rtl w:val="0"/>
        </w:rPr>
      </w:r>
    </w:p>
    <w:tbl>
      <w:tblPr>
        <w:tblStyle w:val="Table2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0"/>
        <w:gridCol w:w="1470"/>
        <w:gridCol w:w="1620"/>
        <w:gridCol w:w="1575"/>
        <w:gridCol w:w="1425"/>
        <w:gridCol w:w="1590"/>
        <w:gridCol w:w="1395"/>
        <w:tblGridChange w:id="0">
          <w:tblGrid>
            <w:gridCol w:w="690"/>
            <w:gridCol w:w="1470"/>
            <w:gridCol w:w="1620"/>
            <w:gridCol w:w="1575"/>
            <w:gridCol w:w="1425"/>
            <w:gridCol w:w="1590"/>
            <w:gridCol w:w="13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Инвестиции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Самолётов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Выручка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Затраты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Чистая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Накопл. поток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sdt>
              <w:sdtPr>
                <w:id w:val="-1605534878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−150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sdt>
              <w:sdtPr>
                <w:id w:val="-2003820501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 опытных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sdt>
              <w:sdtPr>
                <w:id w:val="1171263858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−420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sdt>
              <w:sdtPr>
                <w:id w:val="-453018103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−348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sdt>
              <w:sdtPr>
                <w:id w:val="1758206246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−276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sdt>
              <w:sdtPr>
                <w:id w:val="62306903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−180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sdt>
              <w:sdtPr>
                <w:id w:val="444285870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−84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+204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+348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7 600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6 688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Накопленный денежный поток и точка окупаемости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83010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30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Млн долларов США, базовый сценарий. Красная линия — год выхода в плюс (окупаемость).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Сценарии </w:t>
      </w:r>
      <w:r w:rsidDel="00000000" w:rsidR="00000000" w:rsidRPr="00000000">
        <w:rPr>
          <w:rtl w:val="0"/>
        </w:rPr>
      </w:r>
    </w:p>
    <w:tbl>
      <w:tblPr>
        <w:tblStyle w:val="Table3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575"/>
        <w:gridCol w:w="2310"/>
        <w:gridCol w:w="3930"/>
        <w:tblGridChange w:id="0">
          <w:tblGrid>
            <w:gridCol w:w="1905"/>
            <w:gridCol w:w="1575"/>
            <w:gridCol w:w="2310"/>
            <w:gridCol w:w="393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AE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Сценарий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AF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Окупаемость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0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Совокупная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1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Ключевые 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8-го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 менее 900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Цена 25 млн $, прибыль 3 млн $/шт, </w:t>
              <w:br w:type="textWrapping"/>
              <w:t xml:space="preserve">выход на 48 шт/год по графику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Консервативный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10-го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порядка 700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Издержки выше, прибыль около 2 млн $/шт, медленнее выход на полную мощность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Ориентир условий для инвестора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Объём привлечения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около 420 млн долларов: это полное финансирование трёх лет разработки, испытаний и запуска серийного производства. В обмен инвесторы получают долю в холдинге; конкретная доля, оценка и условия — предмет переговоров.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Ориентировочная оценка проекта (post-money) — порядка 0,7–1,1 млрд долларов, исходя из прогнозной совокупной прибыли и срока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Этому соответствует совокупная доля инвесторов ориентировочно 40–60% за полное финансирование в 420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Величины индикативны и уточняются по итогам переговоров и подтверждённой финансовой модели.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Г. Этапы и сроки реализации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От начала финансирования до старта серийного производства — 37 месяцев. Ключевые вехи: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14 месяцев: новый двигатель и крыло, пакет рабочей конструкторской документации, макетный образец, первый опытный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18 месяцев: второй опытный самолёт для испытаний на прочность.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22 месяцев: третий и четвёртый опытные самолёты для испытаний крыла, оборудования и вооружения.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32–36 месяцев: все виды испытаний; первый предсерийный самолёт передаётся заказчику на войсковые испытания.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37-й месяц: начало серийного производства.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9303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93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Календарный план от начала финансирования (месяцы).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Д. Участники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Проект инициирован группой специалистов с опытом реализации проектов в авиационной отрасли. Сборка и серийное производство </w:t>
      </w:r>
      <w:r w:rsidDel="00000000" w:rsidR="00000000" w:rsidRPr="00000000">
        <w:rPr>
          <w:rtl w:val="0"/>
        </w:rPr>
        <w:t xml:space="preserve">Самолета будет осуществляться</w:t>
      </w:r>
      <w:r w:rsidDel="00000000" w:rsidR="00000000" w:rsidRPr="00000000">
        <w:rPr>
          <w:sz w:val="21"/>
          <w:szCs w:val="21"/>
          <w:rtl w:val="0"/>
        </w:rPr>
        <w:t xml:space="preserve"> в странах ЕС (на первом этапе Чехия, далее Болгария </w:t>
      </w:r>
      <w:r w:rsidDel="00000000" w:rsidR="00000000" w:rsidRPr="00000000">
        <w:rPr>
          <w:rtl w:val="0"/>
        </w:rPr>
        <w:t xml:space="preserve">или Польша</w:t>
      </w:r>
      <w:r w:rsidDel="00000000" w:rsidR="00000000" w:rsidRPr="00000000">
        <w:rPr>
          <w:sz w:val="21"/>
          <w:szCs w:val="21"/>
          <w:rtl w:val="0"/>
        </w:rPr>
        <w:t xml:space="preserve">). Ключевые промышленные участники: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Aero Vodochody (Чехия) — базовая платформа и сборка опытных образцов и серийных самолётов; известный производитель самолётов этого класса.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IAI (Израиль) — поставка комплекса авионики для опытных и серийных самолётов.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Ивченко-Прогрес и Мотор Сич (Украина) — поставка двигателя: разработка и адаптация, опытная партия, серийные двигатели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Поставщики отдельных систем — по мере проработки конструкции.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Украина рассматривается как один из ключевых рынков сбыта. Опора на проверенные мировые предприятия снижает технологические и производственные риски; окончательное закрепление участия происходит договорами на этапе оформления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Е. Оценка проектных рисков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Ниже — основные проектные риски и меры их снижения. Оценки отражают позицию инициаторов и подлежат независимой проверке инвестором; в частности, спрос предполагается обеспечить предварительными контрактами, наличие которых инвестору следует подтвердить.</w:t>
      </w:r>
      <w:r w:rsidDel="00000000" w:rsidR="00000000" w:rsidRPr="00000000">
        <w:rPr>
          <w:rtl w:val="0"/>
        </w:rPr>
      </w:r>
    </w:p>
    <w:tbl>
      <w:tblPr>
        <w:tblStyle w:val="Table4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1905"/>
        <w:gridCol w:w="5610"/>
        <w:tblGridChange w:id="0">
          <w:tblGrid>
            <w:gridCol w:w="2250"/>
            <w:gridCol w:w="1905"/>
            <w:gridCol w:w="561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D2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Меры снижения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Перерасход средств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Авторский надзор за реализацией; корректные договоры между участниками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Производственный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Подбор и обучение персонала; стимулирование управленческой команды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Инфляционный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Контракты в твёрдой валюте; хеджирование валютных рисков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Маркетинговый (сбыт)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Работа по предварительным контрактам на производство и поставку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Технологические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Проверенные мировые поставщики компонентов и партнёры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Корпоративная структура и налогообложение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1. Рекомендуемая структура и 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состоит из трёх уровней. Инвесторы владеют единой холдинговой компанией; та напрямую владеет двумя болгарскими компаниями — одна организует производство, другая ведёт продажи. Холдинг держит права на разработку самолёта и распределяет прибыль инвесторам. Проект проходит два этапа: на первом сборку выполняет независимый завод по заказу группы, на втором группа может перейти к собственному производству.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Юрисдикции структуры и ставки налога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014788" cy="813471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3362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4788" cy="8134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Все страны структуры — члены НАТО, а Болгария и Чехия также входят в ЕС. Прибыль накапливается в Болгарии с одной из самых низких в Евросоюзе ставок — 10%; британский холдинг не платит налог при получении и распределении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1 — производство по заказу (базовая структура Проекта)</w:t>
      </w:r>
    </w:p>
    <w:p w:rsidR="00000000" w:rsidDel="00000000" w:rsidP="00000000" w:rsidRDefault="00000000" w:rsidRPr="00000000" w14:paraId="000000E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3485502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819275"/>
                          <a:ext cx="6089968" cy="3485502"/>
                          <a:chOff x="0" y="819275"/>
                          <a:chExt cx="7498475" cy="42829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0" y="4183975"/>
                            <a:ext cx="7493700" cy="913500"/>
                          </a:xfrm>
                          <a:prstGeom prst="rect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Aero Vodochody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toll/contract manufacturing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(Чехия, независимый завод)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Производит сборку самолетов на основании документации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Principal Co, по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ее заказу и за плату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509" y="3960829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5" name="Shape 15"/>
                        <wps:spPr>
                          <a:xfrm>
                            <a:off x="2052515" y="3898025"/>
                            <a:ext cx="15126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заказ производства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3485502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348550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Завод Aero Vodochody в группу не входит: он собирает самолёт по заказу за плату. Компоненты, включая двигатели (Мотор Сич) и авионику IAI (Израиль), поставляют внешние партнёры через Principal 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2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сборка самолетов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послепродажное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обслуживание на собственных мощностях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По мере роста группа строит собственный завод, и Principal Co становится непосредственным сброщиком самолета.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Низкая нагрузка на прибыль.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Операционная прибыль облагается в Болгарии по плоской ставке 10% — одной из самых низких в ЕС. К этому добавляются операционные плюсы: дешёвая рабочая сила в ЕС, невысокая стоимость организации производства и присутствия, логистическая близость к поставщикам и к рынкам сбыта в регионе.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Прибыль доходит наверх без потерь.</w:t>
      </w:r>
      <w:sdt>
        <w:sdtPr>
          <w:id w:val="-974476973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Передача из Болгарии в британский холдинг не облагается налогом у источника (ст. 10 договора 2015 г.: доля ≥10%, не менее года); полученные дивиденды в Великобритании освобождены при соблюдении условий. </w:t>
          </w:r>
        </w:sdtContent>
      </w:sdt>
    </w:p>
    <w:p w:rsidR="00000000" w:rsidDel="00000000" w:rsidP="00000000" w:rsidRDefault="00000000" w:rsidRPr="00000000" w14:paraId="000000F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Эффективное распределение.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не удерживает налог на дивиденды ни при каком составе собственников (в отличие от Люксембурга). Выплата инвесторам — 0% удержания у источника; до инвестора доходит около 9/10 чистой прибыли (раздел 5.3).</w:t>
      </w:r>
    </w:p>
    <w:p w:rsidR="00000000" w:rsidDel="00000000" w:rsidP="00000000" w:rsidRDefault="00000000" w:rsidRPr="00000000" w14:paraId="000000F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Надёжная юрисдикция холдинга.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— признанный финансовый и холдинговый центр. Английское право, независимые суды и развитый арбитраж; удобна для соинвестирования, финансирования и выхода. Права инвесторов закреплены АС (раздел 9).</w:t>
      </w:r>
    </w:p>
    <w:p w:rsidR="00000000" w:rsidDel="00000000" w:rsidP="00000000" w:rsidRDefault="00000000" w:rsidRPr="00000000" w14:paraId="000000F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Соответствие военно-экспортным требованиям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. Болгария и Чехия — члены НАТО и ЕС с полноценными режимами лицензирования; производственная сертификация на Principal Co; экспортная лицензия на SalesCo. Отдельно закрываются вопросы страны выдачи лицензии (раздел 7.6) и контроля над лицензиатом со стороны лиц НАТО/ЕС (раздел 7.5).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инвестиций.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пользуется действующим договором о защите инвестиций с Болгарией (1995, в силе с 1997) и Чехией (1990): гарантии от экспроприации, свободный перевод доходов и прямой доступ к международному арбитражу против государства (исполнимо в 170+ странах). У Люксембурга такой защиты нет (раздел 2.5).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Гибкость и удобный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Переход к собственному производству на втором этапе не требует перестройки владения. Выход — продажа или IPO на уровне холдинга; продажа долей на уровне структуры освобождена от налога на прирост.</w:t>
      </w:r>
    </w:p>
    <w:p w:rsidR="00000000" w:rsidDel="00000000" w:rsidP="00000000" w:rsidRDefault="00000000" w:rsidRPr="00000000" w14:paraId="000000F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2. Холдинговая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Холдинговая компания принадлежит инвесторам напрямую, владеет проектом, получает прибыль от операционной компании и распределяет её в виде дивидендов. Сделки по выходу проходят на её уровне.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2.1 Сравнение юрисдикций по ключевым критериям</w:t>
      </w:r>
    </w:p>
    <w:tbl>
      <w:tblPr>
        <w:tblStyle w:val="Table5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45"/>
        <w:gridCol w:w="1740"/>
        <w:gridCol w:w="1800"/>
        <w:gridCol w:w="1770"/>
        <w:gridCol w:w="1695"/>
        <w:tblGridChange w:id="0">
          <w:tblGrid>
            <w:gridCol w:w="2745"/>
            <w:gridCol w:w="1740"/>
            <w:gridCol w:w="1800"/>
            <w:gridCol w:w="1770"/>
            <w:gridCol w:w="1695"/>
          </w:tblGrid>
        </w:tblGridChange>
      </w:tblGrid>
      <w:tr>
        <w:trPr>
          <w:cantSplit w:val="0"/>
          <w:trHeight w:val="75.48339843749997" w:hRule="atLeast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FF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Критерий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0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Великобритания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1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Люксембург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2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Ирландия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3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Нидерланды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Прибыль от операционной компании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при выплате инвесторам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20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при выходе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 условиях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наиболее широкое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Стоимость сабстанса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rHeight w:val="0" w:hRule="atLeast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Качество суда и права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Репутация для инвесторов</w:t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высшая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Членство в ЕС</w:t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нет</w:t>
            </w:r>
          </w:p>
        </w:tc>
        <w:tc>
          <w:tcPr/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2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2.2 Итоговая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Во всех четырёх юрисдикциях прибыль поступает из </w:t>
      </w:r>
      <w:r w:rsidDel="00000000" w:rsidR="00000000" w:rsidRPr="00000000">
        <w:rPr>
          <w:rtl w:val="0"/>
        </w:rPr>
        <w:t xml:space="preserve">Principal Co</w:t>
      </w:r>
      <w:r w:rsidDel="00000000" w:rsidR="00000000" w:rsidRPr="00000000">
        <w:rPr>
          <w:sz w:val="21"/>
          <w:szCs w:val="21"/>
          <w:rtl w:val="0"/>
        </w:rPr>
        <w:t xml:space="preserve"> в холдинг без налога у источника, а выплата инвесторам сводится к нулю при доле не менее 10%. Поэтому итоговая нагрузка практически одинакова, и выбор определяется надёжностью освобождения, режимом выхода, стоимостью содержания и репутацией.</w:t>
      </w:r>
      <w:r w:rsidDel="00000000" w:rsidR="00000000" w:rsidRPr="00000000">
        <w:rPr>
          <w:rtl w:val="0"/>
        </w:rPr>
      </w:r>
    </w:p>
    <w:tbl>
      <w:tblPr>
        <w:tblStyle w:val="Table6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2775"/>
        <w:gridCol w:w="5055"/>
        <w:tblGridChange w:id="0">
          <w:tblGrid>
            <w:gridCol w:w="1935"/>
            <w:gridCol w:w="2775"/>
            <w:gridCol w:w="505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29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Юрисдикция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A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 при выплате инвестору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B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</w:p>
        </w:tc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у источника на дивиденды не взимается в принципе; дивиденды из Болгарии не облагаются (ноль по налоговому соглашению); содержание дешевле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Люксембург*</w:t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sdt>
              <w:sdtPr>
                <w:id w:val="383879457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Ноль для держателей с долей ≥10%, облагаемых налогом не менее 8% в своей стране; наиболее широкий режим выхода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Ирландия</w:t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</w:p>
        </w:tc>
        <w:tc>
          <w:tcPr/>
          <w:p w:rsidR="00000000" w:rsidDel="00000000" w:rsidP="00000000" w:rsidRDefault="00000000" w:rsidRPr="00000000" w14:paraId="000001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Общее право; освобождение при условиях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Нидерланды</w:t>
            </w:r>
          </w:p>
        </w:tc>
        <w:tc>
          <w:tcPr/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Автоматическое освобождение; содержание дороже</w:t>
            </w:r>
          </w:p>
        </w:tc>
      </w:tr>
    </w:tbl>
    <w:p w:rsidR="00000000" w:rsidDel="00000000" w:rsidP="00000000" w:rsidRDefault="00000000" w:rsidRPr="00000000" w14:paraId="00000138">
      <w:pPr>
        <w:spacing w:after="100" w:lineRule="auto"/>
        <w:jc w:val="both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iCs w:val="1"/>
          <w:rtl w:val="0"/>
        </w:rPr>
        <w:t xml:space="preserve">*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Важное различие:</w:t>
      </w:r>
      <w:r w:rsidDel="00000000" w:rsidR="00000000" w:rsidRPr="00000000">
        <w:rPr>
          <w:sz w:val="21"/>
          <w:szCs w:val="21"/>
          <w:rtl w:val="0"/>
        </w:rPr>
        <w:t xml:space="preserve"> в Люксембурге нулевой налог при выплате инвестору возможен только если получатель — компания, облагаемая налогом не менее 8% в своей стране. Великобритания не удерживает налог на дивиденды ни при каком составе собственников — поэтому она и рекомендована.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2.3 Почему исключена Швейцария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Швейцария привлекательна по налогам и репутации, но для оборонного проекта с экспортной составляющей не подходит: законы о военных материалах и о нейтралитете жёстко ограничивают участие швейцарских компаний в поставках военной продукции и её реэкспорте.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2.4 Защита инвестиций: национальное право и инвестиционные договоры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Вложения инвесторов защищены на двух уровнях: правом страны холдинга и международными договорами о защите инвестиций между страной холдинга и государствами, где находятся активы.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Великобритания обеспечивает верховенство права, независимые суды, защиту собственности (ст. 1 Протокола № 1 к ЕКПЧ) и свободное перемещение средств. Люксембург как член ЕС гарантирует защиту собственности (ст. 17 Хартии ЕС) и свободу движения капитала (ст. 63 ДФЕС).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00" w:lineRule="auto"/>
        <w:jc w:val="both"/>
        <w:rPr>
          <w:sz w:val="21"/>
          <w:szCs w:val="21"/>
        </w:rPr>
      </w:pPr>
      <w:sdt>
        <w:sdtPr>
          <w:id w:val="-1488082029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«холдинг → активы» у Великобритании есть действующий договор о защите инвестиций с Болгарией (1995, в силе с 1997) и с Чехией (1990): гарантии от экспроприации, справедливый режим, свободный перевод доходов и доступ к международному арбитражу против государства. </w:t>
          </w:r>
        </w:sdtContent>
      </w:sdt>
    </w:p>
    <w:p w:rsidR="00000000" w:rsidDel="00000000" w:rsidP="00000000" w:rsidRDefault="00000000" w:rsidRPr="00000000" w14:paraId="00000140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Люксембургский холдинг такой защиты в отношении этих стран лишён: договоры между государствами ЕС прекращены соглашением 2020 года (после решения Суда ЕС по делу Achmea).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60" w:line="276" w:lineRule="auto"/>
        <w:ind w:left="0" w:right="0" w:firstLine="0"/>
        <w:jc w:val="both"/>
        <w:rPr>
          <w:b w:val="1"/>
          <w:bCs w:val="1"/>
          <w:color w:val="142647"/>
          <w:sz w:val="22"/>
          <w:szCs w:val="22"/>
        </w:rPr>
      </w:pPr>
      <w:sdt>
        <w:sdtPr>
          <w:id w:val="-260665300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«инвестор → холдинг» защищает другой договор — между страной инвестора и страной холдинга. И Великобритания (с ОАЭ — 1992), и Люксембург через союз с Бельгией (BLEU; с ОАЭ — 2004, с Саудовской Аравией — 2001) имеют такие договоры. Значение этого слоя умеренное: вероятность экспроприации со стороны самих Великобритании или Люксембурга крайне мала.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00" w:lineRule="auto"/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Оговорки:</w:t>
      </w:r>
      <w:r w:rsidDel="00000000" w:rsidR="00000000" w:rsidRPr="00000000">
        <w:rPr>
          <w:sz w:val="21"/>
          <w:szCs w:val="21"/>
          <w:rtl w:val="0"/>
        </w:rPr>
        <w:t xml:space="preserve"> Европейская комиссия добивается прекращения британских договоров с Болгарией и Чехией (дело в Суде ЕС, декабрь 2024); договор Великобритания—Польша прекращён в 2018 году. И Великобритания, и Люксембург участвуют в Вашингтонской (ICSID) и Нью-Йоркской конвенциях, поэтому арбитражные решения исполнимы более чем в 170 странах.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vqyvub36p5xe" w:id="0"/>
      <w:bookmarkEnd w:id="0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 xml:space="preserve">2.6 Стоимость содержания холдинга (реальное присутствие)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sqx705f5ylcg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color w:val="1c1c1c"/>
          <w:sz w:val="21"/>
          <w:szCs w:val="21"/>
          <w:rtl w:val="0"/>
        </w:rPr>
        <w:t xml:space="preserve">Чтобы холдинг сохранял освобождения и договорные льготы (0% при передаче прибыли из Болгарии, освобождение дивидендов и прироста) и принимался банками, он должен реально управляться из страны регистрации. Налоговый результат у четырёх юрисдикций почти одинаков (раздел 2.2), поэтому стоимость и сложность содержания становятся одним из критериев выбора. </w:t>
      </w:r>
      <w:r w:rsidDel="00000000" w:rsidR="00000000" w:rsidRPr="00000000">
        <w:rPr>
          <w:rtl w:val="0"/>
        </w:rPr>
      </w:r>
    </w:p>
    <w:tbl>
      <w:tblPr>
        <w:tblStyle w:val="Table7"/>
        <w:tblW w:w="9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2040"/>
        <w:gridCol w:w="2160"/>
        <w:gridCol w:w="2190"/>
        <w:gridCol w:w="1815"/>
        <w:tblGridChange w:id="0">
          <w:tblGrid>
            <w:gridCol w:w="1560"/>
            <w:gridCol w:w="2040"/>
            <w:gridCol w:w="2160"/>
            <w:gridCol w:w="2190"/>
            <w:gridCol w:w="181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Элемент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Ирландия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Нидерланды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Директора (минимум)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 (физлицо)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3 для S.A.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</w:tr>
      <w:tr>
        <w:trPr>
          <w:cantSplit w:val="0"/>
          <w:trHeight w:val="58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Резидентство директоров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требуется, но желательно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33993242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Люксембурга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9403540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≥1 резидент ЕЭЗ 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112799537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Нидерландов</w:t>
                </w:r>
              </w:sdtContent>
            </w:sdt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Где проводится совет / решения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UK (не требуется, но желательно)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обязательно в Люксембурге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Нидерландах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Корпоративный секретарь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(для частной Ltd)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(института нет)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требуется (при единственном директоре — отдельное 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/ домициляция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UK, желательно 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или домициляция через лицензированного агента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в Нидерландах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Минимальный капитал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 (номинал £1)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S.A. — €30 000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</w:tr>
      <w:tr>
        <w:trPr>
          <w:cantSplit w:val="0"/>
          <w:trHeight w:val="486.6718750000000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Ориентир. расходы, €/год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70–120 тыс.+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60–90 тыс.</w:t>
            </w:r>
          </w:p>
        </w:tc>
      </w:tr>
    </w:tbl>
    <w:p w:rsidR="00000000" w:rsidDel="00000000" w:rsidP="00000000" w:rsidRDefault="00000000" w:rsidRPr="00000000" w14:paraId="000001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Великобритания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умеренный режим. Достаточно одного директора без требования к резидентству, хотя резидент Великобритании рекомендуется с точки зрения создания сабстанса; налоговое резидентство компании возникает автоматически по факту регистрации в UK. Оговорка: для уверенного статуса бенефициарного собственника по договору, прохождения теста основной цели и приёма банками разумно всё же назначить британского директора и проводить совет в UK — даже с этим запасом содержание остаётся самым недорогим.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Люксембург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требовательный и дорогой. Стандартный холдинг (S.A.) — это совет минимум из трёх директоров с большинством резидентов Люксембурга, заседания и ключевые решения в стране, домициляция через лицензированного агента, обязательный внутренний аудитор (commissaire), а сверх порогов — внешний аудит; плюс минимальный капитал €30 000. Это и сложнее организационно, и заметно дороже в год.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Нидерланды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близки к Люксембургу: большинство директоров — налоговые резиденты Нидерландов плюс формальный перечень substance (бухучёт, банк и решения в стране).</w:t>
      </w:r>
    </w:p>
    <w:p w:rsidR="00000000" w:rsidDel="00000000" w:rsidP="00000000" w:rsidRDefault="00000000" w:rsidRPr="00000000" w14:paraId="000001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Ирландия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умеренный вариант: достаточно одного директора-резидента ЕЭЗ, но обязателен корпоративный секретарь.</w:t>
      </w:r>
    </w:p>
    <w:p w:rsidR="00000000" w:rsidDel="00000000" w:rsidP="00000000" w:rsidRDefault="00000000" w:rsidRPr="00000000" w14:paraId="000001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По стоимости и простоте содержания Великобритания выигрывает, тогда как Люксембург и Нидерланды требуют совета с большинством местных резидентов и более тяжёлого администрирования. 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Суммы расходов — ориентировочные (зависят от числа и статуса директоров, расходов на офис, аудит и оборонную специфику).</w:t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otr5rk15pob4" w:id="2"/>
      <w:bookmarkEnd w:id="2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 xml:space="preserve">2.7 Налогообложение при выходе из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0a0a0a"/>
          <w:sz w:val="21"/>
          <w:szCs w:val="21"/>
        </w:rPr>
      </w:pPr>
      <w:bookmarkStart w:colFirst="0" w:colLast="0" w:name="_heading=h.uuaykemmprg8" w:id="3"/>
      <w:bookmarkEnd w:id="3"/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Выход из проекта может принимать три формы: продажа операционных компаний самим холдингом, продажа долей холдинга инвесторами или публичное размещение (IPO) на уровне холдинга. 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 различных юрисдикциях данные сценарии различаются, поэтому «освобождение при выходе» — это полноценный критерий выбора холдинга.</w:t>
      </w:r>
    </w:p>
    <w:p w:rsidR="00000000" w:rsidDel="00000000" w:rsidP="00000000" w:rsidRDefault="00000000" w:rsidRPr="00000000" w14:paraId="000001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1. Холдинг продаёт операционные (болгарские) компании.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</w:t>
      </w:r>
    </w:p>
    <w:p w:rsidR="00000000" w:rsidDel="00000000" w:rsidP="00000000" w:rsidRDefault="00000000" w:rsidRPr="00000000" w14:paraId="000001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Прирост стоимости освобождается во всех четырёх юрисдикциях, но условия разные:</w:t>
      </w:r>
    </w:p>
    <w:sdt>
      <w:sdtPr>
        <w:lock w:val="contentLocked"/>
        <w:id w:val="1510543168"/>
        <w:tag w:val="goog_rdk_21"/>
      </w:sdtPr>
      <w:sdtContent>
        <w:tbl>
          <w:tblPr>
            <w:tblStyle w:val="Table8"/>
            <w:tblW w:w="975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710"/>
            <w:gridCol w:w="2535"/>
            <w:gridCol w:w="1155"/>
            <w:gridCol w:w="1650"/>
            <w:gridCol w:w="2700"/>
            <w:tblGridChange w:id="0">
              <w:tblGrid>
                <w:gridCol w:w="1710"/>
                <w:gridCol w:w="2535"/>
                <w:gridCol w:w="1155"/>
                <w:gridCol w:w="1650"/>
                <w:gridCol w:w="270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Норма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Порог доли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Срок владения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Условие</w:t>
                </w:r>
              </w:p>
            </w:tc>
          </w:tr>
          <w:tr>
            <w:trPr>
              <w:cantSplit w:val="0"/>
              <w:trHeight w:val="69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 (прил. 7AC)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61565247"/>
                    <w:tag w:val="goog_rdk_15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≥10%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510780029"/>
                    <w:tag w:val="goog_rdk_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6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продаваемая компания торговая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166)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4341925"/>
                    <w:tag w:val="goog_rdk_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≥10% или €6 млн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12 мес.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распространяется и на пассивные участия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626B)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82925403"/>
                    <w:tag w:val="goog_rdk_18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720135036"/>
                    <w:tag w:val="goog_rdk_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3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торговая + резидент ЕС/договорной страны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deelnemingsvrijstelling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55958863"/>
                    <w:tag w:val="goog_rdk_20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срока нет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 «низконалоговое пассивное» вложение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Болгарские компании проекта — действующие торговые компании с долей 100%, поэтому условие выполняется во всех вариантах. </w:t>
      </w:r>
    </w:p>
    <w:p w:rsidR="00000000" w:rsidDel="00000000" w:rsidP="00000000" w:rsidRDefault="00000000" w:rsidRPr="00000000" w14:paraId="000001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Различие — в широте режима: у Нидерландов самый низкий порог (5%) и нет срока владения, у Ирландии тоже 5%, у Люксембурга освобождение распространяется и на пассивные участия (поэтому в §2.1 оно отмечено как «наиболее широкое»), а Великобритания требует, чтобы продаваемая компания была торговой (для нашего проекта — выполнено).</w:t>
      </w:r>
    </w:p>
    <w:p w:rsidR="00000000" w:rsidDel="00000000" w:rsidP="00000000" w:rsidRDefault="00000000" w:rsidRPr="00000000" w14:paraId="000001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b w:val="1"/>
          <w:bCs w:val="1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2. Инвестор продаёт долю холдинга. </w:t>
      </w:r>
    </w:p>
    <w:p w:rsidR="00000000" w:rsidDel="00000000" w:rsidP="00000000" w:rsidRDefault="00000000" w:rsidRPr="00000000" w14:paraId="000001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вопрос — облагает ли страна холдинга нерезидента при продаже его доли:</w:t>
      </w:r>
    </w:p>
    <w:sdt>
      <w:sdtPr>
        <w:lock w:val="contentLocked"/>
        <w:id w:val="-1890153305"/>
        <w:tag w:val="goog_rdk_23"/>
      </w:sdtPr>
      <w:sdtContent>
        <w:tbl>
          <w:tblPr>
            <w:tblStyle w:val="Table9"/>
            <w:tblW w:w="976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905"/>
            <w:gridCol w:w="7860"/>
            <w:tblGridChange w:id="0">
              <w:tblGrid>
                <w:gridCol w:w="1905"/>
                <w:gridCol w:w="786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Налог для инвестора-нерезидента при продаже доли холдинга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чья стоимость в основном — британская недвижимость)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«богатых» ирландской землёй)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может облагать продажу существенного участия (&gt;10%) в первые 6 месяцев после приобретения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309263859"/>
                    <w:tag w:val="goog_rdk_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возможен налог по правилам «существенного интереса» (≥5%) при признании схемы искусственной (антизлоупотребление)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1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На этой линии Великобритания и Ирландия — наиболее чистые: нерезидент при продаже доли холдинга налогом не облагается. У Люксембурга и Нидерландов есть условные основания для обложения.</w:t>
      </w:r>
    </w:p>
    <w:p w:rsidR="00000000" w:rsidDel="00000000" w:rsidP="00000000" w:rsidRDefault="00000000" w:rsidRPr="00000000" w14:paraId="000001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Во всех вариантах налог на уровне структуры либо нулевой, либо освобождён; фактический налог инвестора возникает в стране его резидентства и зависит от его ситуации (раздел 8).</w:t>
      </w:r>
    </w:p>
    <w:p w:rsidR="00000000" w:rsidDel="00000000" w:rsidP="00000000" w:rsidRDefault="00000000" w:rsidRPr="00000000" w14:paraId="000001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работает важный приём: при владении долей через компанию (а не как физлицо) к выходу может применяться собственное освобождение участия инвестора — и прирост освобождается уже на его уровне. Это ещё один довод владеть долей через компанию и с долей не менее 10%.</w:t>
      </w:r>
    </w:p>
    <w:p w:rsidR="00000000" w:rsidDel="00000000" w:rsidP="00000000" w:rsidRDefault="00000000" w:rsidRPr="00000000" w14:paraId="000001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Механика выхода (преимущественный выкуп, совместная и принудительная продажа, IPO) регулируется акционерным соглашением (раздел 9).</w:t>
      </w:r>
    </w:p>
    <w:p w:rsidR="00000000" w:rsidDel="00000000" w:rsidP="00000000" w:rsidRDefault="00000000" w:rsidRPr="00000000" w14:paraId="000001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 по критерию.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Освобождение прироста на уровне структуры дают все четыре юрисдикции. Для нашего проекта (торговая группа, доли 100%, международные инвесторы) критерий выхода работает в пользу Великобритании и Ирландии, что согласуется с итоговой рекомендацией (§2.9).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i6x9o4tzuche" w:id="4"/>
      <w:bookmarkEnd w:id="4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 xml:space="preserve">2.8 Великобритания и Люксембург: детальное сравнение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и Люксембург — две финальные кандидатуры на роль холдинга: налоговый результат у них практически одинаков, а различия проявляются в деталях, которые для нашего проекта оказываются решающими.</w:t>
      </w:r>
    </w:p>
    <w:tbl>
      <w:tblPr>
        <w:tblStyle w:val="Table10"/>
        <w:tblW w:w="974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8.4454303460516"/>
        <w:gridCol w:w="3977.9591836734694"/>
        <w:gridCol w:w="3839.595385980479"/>
        <w:tblGridChange w:id="0">
          <w:tblGrid>
            <w:gridCol w:w="1928.4454303460516"/>
            <w:gridCol w:w="3977.9591836734694"/>
            <w:gridCol w:w="3839.595385980479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Линия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Удержание на дивидендах инвестору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0% для всех, без условий и проверки статуса получателя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655144431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15% по умолчанию; 0% только если получатель — компания, облагаемая налогом не менее 8%, доля ≥10%, срок 12 месяцев</w:t>
                </w:r>
              </w:sdtContent>
            </w:sdt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Вход прибыли из Болгарии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534343106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налоговому соглашению 2015 года (доля ≥10%, не менее года)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1366753573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Директиве ЕС о материнских и дочерних компаниях (доля ≥10%, 2 года)</w:t>
                </w:r>
              </w:sdtContent>
            </w:sdt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Полученные холдингом дивиденды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(часть 9A Закона о корпоративном налоге 2009 года)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(статья 166, освобождение участия)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холдинг продаёт операционные компании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072081190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участия: доля ≥10%, ≥12 месяцев, торговая компания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32608273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участия: доля ≥10% или €6 млн, 12 месяцев; шире — и пассивные участия</w:t>
                </w:r>
              </w:sdtContent>
            </w:sdt>
          </w:p>
        </w:tc>
      </w:tr>
      <w:tr>
        <w:trPr>
          <w:cantSplit w:val="0"/>
          <w:trHeight w:val="85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инвестор продаёт долю холдинга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нерезидент налогом не облагается (кроме «недвижимостных» компаний)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возможен налог при продаже существенного участия (свыше 10%) в первые 6 месяцев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Стоимость содержания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один директор без требования к резидентству; секретарь и аудит малой компании не нужны; капитала нет (~€10–30 тыс./год)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минимум три директора с большинством резидентов; домициляция; внутренний аудитор; капитал €30 тыс. (~€35–70 тыс./год)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53488929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«холдинг → активы»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действующие договоры с Болгарией (1995) и Чехией (1990) с арбитражем против государства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внутрисоюзные договоры прекращены (после дела Achmea, 2020), только право ЕС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789006100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«инвестор → холдинг»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договор с ОАЭ (1992)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через союз с Бельгией (BLEU) — с ОАЭ (2004), Саудовской Аравией (2001) и шире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Правовая система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английское право, высший арбитраж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гражданское право; высшая репутация для фондов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Членство в ЕС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различие решает в пользу Великобритании.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Распределение прибыли инвесторам.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не удерживает налог на дивиденды ни при каком составе собственников — без проверки налоговых ставок страны получателя. При смешанном и пока не определённом составе инвесторов это даёт чистый 0% для каждого. В Люксембурге нулевая ставка возможна только если инвестор — компания, облагаемая налогом не менее 8%; иначе применяется договорная ставка.</w:t>
      </w:r>
    </w:p>
    <w:p w:rsidR="00000000" w:rsidDel="00000000" w:rsidP="00000000" w:rsidRDefault="00000000" w:rsidRPr="00000000" w14:paraId="000001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Защита инвестиции там, где сосредоточен риск.</w:t>
      </w:r>
      <w:sdt>
        <w:sdtPr>
          <w:id w:val="-1360310534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Реальный политический и экспроприационный риск находится в Болгарии, где расположены операционная и продающая компании. Против Болгарии у британского холдинга есть действующий договор о защите инвестиций с прямым доступом к международному арбитражу, тогда как у люксембургского такой защиты в отношении стран ЕС нет. Линия «инвестор → холдинг», где у Люксембурга шире сеть договоров с Заливом, вторична: вероятность экспроприации со стороны самих Великобритании или Люксембурга крайне мала.</w:t>
          </w:r>
        </w:sdtContent>
      </w:sdt>
    </w:p>
    <w:p w:rsidR="00000000" w:rsidDel="00000000" w:rsidP="00000000" w:rsidRDefault="00000000" w:rsidRPr="00000000" w14:paraId="000001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легче и дешевле: один директор, налоговое резидентство. Люксембург требует совета из трёх директоров с большинством местных резидентов и местного администрирования — сложнее и дороже. В десятилетей перспективе экономия реальна.</w:t>
      </w:r>
    </w:p>
    <w:p w:rsidR="00000000" w:rsidDel="00000000" w:rsidP="00000000" w:rsidRDefault="00000000" w:rsidRPr="00000000" w14:paraId="000001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Выход из проекта.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юрисдикции; на уровне инвестора британский холдинг чище (нет ограничений при продаже в первые шесть месяцев).</w:t>
      </w:r>
    </w:p>
    <w:p w:rsidR="00000000" w:rsidDel="00000000" w:rsidP="00000000" w:rsidRDefault="00000000" w:rsidRPr="00000000" w14:paraId="000001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выигрывает Люксембург</w:t>
      </w:r>
      <w:sdt>
        <w:sdtPr>
          <w:id w:val="-564462089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. Наиболее широкое освобождение при выходе (включая пассивные участия), членство в ЕС (директивы работают напрямую), репутация для фондов и семейных офисов и более широкая сеть инвестиционных договоров со странами Залива на линии «инвестор → холдинг».</w:t>
          </w:r>
        </w:sdtContent>
      </w:sdt>
    </w:p>
    <w:p w:rsidR="00000000" w:rsidDel="00000000" w:rsidP="00000000" w:rsidRDefault="00000000" w:rsidRPr="00000000" w14:paraId="000001D4">
      <w:pPr>
        <w:spacing w:after="1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64pw57gwooq6" w:id="5"/>
      <w:bookmarkEnd w:id="5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 xml:space="preserve">2.9 Рекомендация по юрисдикции холдинга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xb4rf7szltpu" w:id="6"/>
      <w:bookmarkEnd w:id="6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С учётом всего изложенного выше рекомендуется холдинг в Великобритании.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Налоговый результат у Великобритании и Люксембурга практически одинаков, поэтому выбор определяют детали — и по совокупности этих деталей Великобритания подходит проекту лучше.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1w2ulg160y4o" w:id="7"/>
      <w:bookmarkEnd w:id="7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Основания рекомендации: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Распределение прибыли инвесторам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0% при любом составе. Великобритания не удерживает налог на дивиденды независимо от того, кто инвестор; это устойчиво к смешанному и пока не определённому составу собственников, тогда как нулевая ставка в Люксембурге требует, чтобы инвестор был нормально облагаемой компанией (раздел 2.2).</w:t>
      </w:r>
    </w:p>
    <w:p w:rsidR="00000000" w:rsidDel="00000000" w:rsidP="00000000" w:rsidRDefault="00000000" w:rsidRPr="00000000" w14:paraId="000001D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инвестиции там, где сосредоточен риск.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Реальный риск находится в Болгарии, и против неё у британского холдинга есть действующий договор о защите инвестиций с доступом к международному арбитражу; у люксембургского холдинга такой защиты в отношении стран ЕС нет (раздел 2.5).</w:t>
      </w:r>
    </w:p>
    <w:p w:rsidR="00000000" w:rsidDel="00000000" w:rsidP="00000000" w:rsidRDefault="00000000" w:rsidRPr="00000000" w14:paraId="000001D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Умеренная 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Один директор в Великобритании против совета с большинством местных резидентов и местного администрирования в Люксембурге (раздел 2.6).</w:t>
      </w:r>
    </w:p>
    <w:p w:rsidR="00000000" w:rsidDel="00000000" w:rsidP="00000000" w:rsidRDefault="00000000" w:rsidRPr="00000000" w14:paraId="000001D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Чистый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юрисдикции, но на уровне инвестора британский холдинг чище (раздел 2.7).</w:t>
      </w:r>
    </w:p>
    <w:p w:rsidR="00000000" w:rsidDel="00000000" w:rsidP="00000000" w:rsidRDefault="00000000" w:rsidRPr="00000000" w14:paraId="000001D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Английское право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привычная и предсказуемая среда для международных инвесторов и оборонных партнёров.</w:t>
      </w:r>
    </w:p>
    <w:p w:rsidR="00000000" w:rsidDel="00000000" w:rsidP="00000000" w:rsidRDefault="00000000" w:rsidRPr="00000000" w14:paraId="000001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  <w:t xml:space="preserve">Выбор между Великобританией и Люксембургом — это вопрос налоговой и правовой эффективности владения, допуск к оборонному активу прорабатывается отдельно в любом случае.</w:t>
      </w:r>
    </w:p>
    <w:p w:rsidR="00000000" w:rsidDel="00000000" w:rsidP="00000000" w:rsidRDefault="00000000" w:rsidRPr="00000000" w14:paraId="000001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Для настоящего проекта со смешанным составом инвесторов — рекомендуется Великобритания: она выигрывает на линиях, где сосредоточены реальный риск, налог инвестору и стоимость содержания. Люксембург остаётся равноценной альтернативой.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3. Производственная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Производство проходит два этапа: сначала PrincipalCo является организатором и управителем проекта, а непосредственно сборку ведёт действующий завод Aero Vodochody по заказу группы, затем группа может перейти к собственной сборке на базе PrincipalCo.</w:t>
      </w:r>
    </w:p>
    <w:p w:rsidR="00000000" w:rsidDel="00000000" w:rsidP="00000000" w:rsidRDefault="00000000" w:rsidRPr="00000000" w14:paraId="000001E1">
      <w:pPr>
        <w:spacing w:after="40" w:before="160" w:lineRule="auto"/>
        <w:jc w:val="both"/>
        <w:rPr/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3.1 Первый этап — производство по заказу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PrincipalCo является OEM: заказывает сборку, закупает компоненты (авионику IAI, двигатель) и владеет правами на самолёт и конструкторскую документацию. </w:t>
      </w:r>
    </w:p>
    <w:p w:rsidR="00000000" w:rsidDel="00000000" w:rsidP="00000000" w:rsidRDefault="00000000" w:rsidRPr="00000000" w14:paraId="000001E3">
      <w:pPr>
        <w:spacing w:after="1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За PrincipalCo закрепляются права на документацию, роль держателя сертификата типа / одобрения разработчика (DOA) — чтобы статус OEM и налоговая база оставались в Болгарии.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Фактическую с</w:t>
      </w:r>
      <w:r w:rsidDel="00000000" w:rsidR="00000000" w:rsidRPr="00000000">
        <w:rPr>
          <w:rtl w:val="0"/>
        </w:rPr>
        <w:t xml:space="preserve">борку выполняет Aero Vodochody (Чехия) — независимый завод с опытом производства самолётов данного класса; он выступает контрактным сборщиком. Это избавляет от необходимости на первом этапе строить собственный завод и опирается на готовую производственную базу и сертификацию Aero Vodochody. </w:t>
      </w:r>
    </w:p>
    <w:p w:rsidR="00000000" w:rsidDel="00000000" w:rsidP="00000000" w:rsidRDefault="00000000" w:rsidRPr="00000000" w14:paraId="000001E5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Условие сохранения болгарской ставки 10%: чтобы прибыль облагалась в Болгарии, а не в Чехии, болгарская компания не должна создавать в Чехии налогооблагаемого присутствия (постоянного представительства). Сборка силами независимого подрядчика на рыночных условиях сама по себе такого присутствия не создаёт.</w:t>
      </w:r>
    </w:p>
    <w:p w:rsidR="00000000" w:rsidDel="00000000" w:rsidP="00000000" w:rsidRDefault="00000000" w:rsidRPr="00000000" w14:paraId="000001E6">
      <w:pPr>
        <w:spacing w:after="40" w:before="16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3.2 Второй этап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По мере роста объёмов у группы появляется смысл перейти от сборки по заказу к собственному заводу. Это требует капитальных вложений и времени, но даёт ряд преимуществ:</w:t>
      </w:r>
    </w:p>
    <w:p w:rsidR="00000000" w:rsidDel="00000000" w:rsidP="00000000" w:rsidRDefault="00000000" w:rsidRPr="00000000" w14:paraId="000001E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Полный контроль над производством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сроки, качество, загрузка, цепочки поставок не зависят от стороннего подрядчика.</w:t>
      </w:r>
    </w:p>
    <w:p w:rsidR="00000000" w:rsidDel="00000000" w:rsidP="00000000" w:rsidRDefault="00000000" w:rsidRPr="00000000" w14:paraId="000001E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Удержание производственной маржи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исчезает плата контрактному сборщику (Aero </w:t>
      </w:r>
      <w:r w:rsidDel="00000000" w:rsidR="00000000" w:rsidRPr="00000000">
        <w:rPr>
          <w:rtl w:val="0"/>
        </w:rPr>
        <w:t xml:space="preserve">Vodochody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), и вся производственная стоимость остаётся в группе.</w:t>
      </w:r>
    </w:p>
    <w:p w:rsidR="00000000" w:rsidDel="00000000" w:rsidP="00000000" w:rsidRDefault="00000000" w:rsidRPr="00000000" w14:paraId="000001E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Консолидация статуса OEM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собственная производственная база подкрепляет реальное присутствие и роль группы как производителя оригинального оборудования.</w:t>
      </w:r>
    </w:p>
    <w:p w:rsidR="00000000" w:rsidDel="00000000" w:rsidP="00000000" w:rsidRDefault="00000000" w:rsidRPr="00000000" w14:paraId="000001E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Масштабируемость и локализация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возможность наращивать выпуск и при необходимости приближать производство к ключевым заказчикам.</w:t>
      </w:r>
    </w:p>
    <w:p w:rsidR="00000000" w:rsidDel="00000000" w:rsidP="00000000" w:rsidRDefault="00000000" w:rsidRPr="00000000" w14:paraId="000001E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Переход PrincipalCo с роли юридического на роль фактичского производителя не требует перестройки структуры владения: холдинг и обе операционных компании сохраняются, меняется лишь фактическое производственное звено. </w:t>
      </w:r>
    </w:p>
    <w:p w:rsidR="00000000" w:rsidDel="00000000" w:rsidP="00000000" w:rsidRDefault="00000000" w:rsidRPr="00000000" w14:paraId="000001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Конкретная площадка выбирается по совокупности критериев: стоимость и доступность квалифицированных кадров, развитость авиапромышленной базы, государственные льготы, членство в НАТО и ЕС, экспортное регулирование, логистика и регуляторная предсказуемость. </w:t>
      </w:r>
    </w:p>
    <w:p w:rsidR="00000000" w:rsidDel="00000000" w:rsidP="00000000" w:rsidRDefault="00000000" w:rsidRPr="00000000" w14:paraId="000001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Среди стран ЕС рассматриваются два финалиста:</w:t>
      </w:r>
    </w:p>
    <w:p w:rsidR="00000000" w:rsidDel="00000000" w:rsidP="00000000" w:rsidRDefault="00000000" w:rsidRPr="00000000" w14:paraId="000001F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Болгария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наиболее простой и дешёвый вариант. Производство размещается в той же юрисдикции, что операционная и продающая компании: единая структура без новой страны, низкая ставка налога (10%) и дешёвая рабочая сила в ЕС, отсутствие необходимости проходить новый раунд скрининга и лицензирования в ещё одном государстве. Минус — относительно тонкая авиапромышленная база и дефицит профильных аэрокосмических кадров, который будет частично покрыт с помощью релокации квалифицированных кадров.</w:t>
      </w:r>
    </w:p>
    <w:p w:rsidR="00000000" w:rsidDel="00000000" w:rsidP="00000000" w:rsidRDefault="00000000" w:rsidRPr="00000000" w14:paraId="000001F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Польша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вариант под промышленную мощность. Здесь развитая авиационная промышленность и сложившийся авиакластер, квалифицированные кадры и государственные льготы для крупных инвестиций, членство в НАТО и ЕС. Минусы — более высокая ставка налога (19%), более дорогой труд и добавление новой юрисдикции в структуру (отдельный FDI-скрининг и оформление).</w:t>
      </w:r>
    </w:p>
    <w:p w:rsidR="00000000" w:rsidDel="00000000" w:rsidP="00000000" w:rsidRDefault="00000000" w:rsidRPr="00000000" w14:paraId="000001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Логика выбора: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Болгария выигрывает по простоте структуры, налоговой нагрузке и издержкам; Польша — по промышленной базе и доступности профильных инженеров и рабочих. Решение принимается на этом этапе, исходя из достигнутых объёмов, договорённостей с партнёрами. </w:t>
      </w:r>
    </w:p>
    <w:p w:rsidR="00000000" w:rsidDel="00000000" w:rsidP="00000000" w:rsidRDefault="00000000" w:rsidRPr="00000000" w14:paraId="000001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3.3 Сравнение юрисдикций производственной компании</w:t>
      </w:r>
      <w:r w:rsidDel="00000000" w:rsidR="00000000" w:rsidRPr="00000000">
        <w:rPr>
          <w:rtl w:val="0"/>
        </w:rPr>
      </w:r>
    </w:p>
    <w:tbl>
      <w:tblPr>
        <w:tblStyle w:val="Table11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50"/>
        <w:gridCol w:w="840"/>
        <w:gridCol w:w="960"/>
        <w:gridCol w:w="1050"/>
        <w:gridCol w:w="5850"/>
        <w:tblGridChange w:id="0">
          <w:tblGrid>
            <w:gridCol w:w="1050"/>
            <w:gridCol w:w="840"/>
            <w:gridCol w:w="960"/>
            <w:gridCol w:w="1050"/>
            <w:gridCol w:w="585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F5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Страна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6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7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Труд, €/ч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8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Авиапром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9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10,6</w:t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Низкий налог, дешёвая рабочая сила в ЕС; член НАТО и ЕС, логистика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12,5</w:t>
            </w:r>
          </w:p>
        </w:tc>
        <w:tc>
          <w:tcPr/>
          <w:p w:rsidR="00000000" w:rsidDel="00000000" w:rsidP="00000000" w:rsidRDefault="00000000" w:rsidRPr="00000000" w14:paraId="0000020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Низкие издержки, есть авиапредприятия;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Развитый авиапром и льготы для инвестиций;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10–24%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Ставка 24% (при выручке свыше 5 млн €);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18</w:t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Лидер в классе; место сборки на первом этапе; член НАТО и ЕС</w:t>
            </w:r>
          </w:p>
        </w:tc>
      </w:tr>
    </w:tbl>
    <w:p w:rsidR="00000000" w:rsidDel="00000000" w:rsidP="00000000" w:rsidRDefault="00000000" w:rsidRPr="00000000" w14:paraId="0000021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3.4 Почему мы не рассматриваем Венгрию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Венгрия не рассматривается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, потому что Украина и рынок сбыта самолетов, и поставщик двигателя. Венгрия проводит наиболее ограничительную в ЕС политику в отношении военного экспорта и транзита в адрес Украины: правительство систематически блокирует военную помощь Украине и ограничивает транзит вооружений через свою территорию. Если разместить в Венгрии производство и/или держателя экспортной лицензии, возникает реальный риск со стороны венгерских органов лицензирования и экспортного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Что касается налогов. Несмотря на формальные 9%, они дополняются местным налогом с оборота (HIPA, до 2%), из-за чего фактическая нагрузка сопоставима с болгарскими плоскими 10% или выше — преимущества перед Болгарией не возникает.  </w:t>
      </w:r>
    </w:p>
    <w:p w:rsidR="00000000" w:rsidDel="00000000" w:rsidP="00000000" w:rsidRDefault="00000000" w:rsidRPr="00000000" w14:paraId="00000217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Кроме того, в Венгрии нет действующего производителя самолётов этого класса, сопоставимого с чешской Aero Vodochody, а профильные кадры, цепочка поставок и опыт сертификации боевых машин менее развиты, чем в Чехии, Польше или Румынии. Для первого этапа естественна сборка у Aero Vodochody (Чехия), для второго — собственный завод в Болгарии (или Польше). </w:t>
      </w:r>
    </w:p>
    <w:p w:rsidR="00000000" w:rsidDel="00000000" w:rsidP="00000000" w:rsidRDefault="00000000" w:rsidRPr="00000000" w14:paraId="00000218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4. Продающая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Продажа боевых самолётов требует военно-экспортной лицензии страны продавца и подтверждения конечного пользователя. Продающая компания должна находиться в стране — члене НАТО и ЕС с действующим режимом военно-экспортного контроля; офшорные юрисдикции для этой роли не подходят.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4.1 Сравнение юрисдикций</w:t>
      </w:r>
    </w:p>
    <w:tbl>
      <w:tblPr>
        <w:tblStyle w:val="Table12"/>
        <w:tblW w:w="9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0"/>
        <w:gridCol w:w="1215"/>
        <w:gridCol w:w="4590"/>
        <w:gridCol w:w="2550"/>
        <w:tblGridChange w:id="0">
          <w:tblGrid>
            <w:gridCol w:w="1380"/>
            <w:gridCol w:w="1215"/>
            <w:gridCol w:w="4590"/>
            <w:gridCol w:w="255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Страна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Налог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Режим контроля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Масштаб экспорта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21–24%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небольшой</w:t>
            </w:r>
          </w:p>
        </w:tc>
      </w:tr>
    </w:tbl>
    <w:p w:rsidR="00000000" w:rsidDel="00000000" w:rsidP="00000000" w:rsidRDefault="00000000" w:rsidRPr="00000000" w14:paraId="0000023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Продающую компанию рекомендуется разместить в Болгарии — там же, где операционную: одна из самых низких ставок, полноценный военно-экспортный режим, передача прибыли без потерь. Закупочную и продающую функции целесообразно разделить на две болгарские компании. Размещение лицензии в Болгарии не отменяет того, что при сборке и отгрузке из Чехии применяются чешские экспортные правила и согласие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  <w:t xml:space="preserve">_________________________</w:t>
      </w:r>
      <w:r w:rsidDel="00000000" w:rsidR="00000000" w:rsidRPr="00000000">
        <w:rPr>
          <w:color w:val="142647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239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5. Движение прибыли и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 рекомендованной структуре операционная и продающая компании находятся в Болгарии, холдинг — в Великобритании, сборка на первом этапе — на заводе Aero Vodochody в Чехии.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5.1 Почему Болгария для операционной и продающей компаний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Болгария для операционной и продающей компаний выбрана по совокупности критериев (раздел 3). Помимо налоговой ставки 10%, в её пользу говорят операционные факторы: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рабочей силы — самая низкая в Европейском союзе, что снижает издержки операционной и продающей компаний.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Невысокая стоимость организации и содержания производства и присутствия (офис, персонал, управление) по сравнению с большинством стран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Логистическая близость к ключевым поставщикам: сборка в Чехии, двигатель из Украины, авионика из Израиля — Болгария удобно расположена относительно этих маршрутов и рынков региона.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Полноценный военно-экспортный режим члена НАТО и ЕС и предсказуемое регулирование.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5.2 Международный минимальный налог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Базовая ставка — 10%. Правила международного минимального налога (Pillar Two — 15% для крупных групп) применяются к группе с годовой консолидированной выручкой от 750 млн € как минимум в двух из четырёх предыдущих лет. Для проекта это отдалённый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5.3 Налоговая нагрузка по шагам</w:t>
      </w:r>
      <w:r w:rsidDel="00000000" w:rsidR="00000000" w:rsidRPr="00000000">
        <w:rPr>
          <w:rtl w:val="0"/>
        </w:rPr>
      </w:r>
    </w:p>
    <w:tbl>
      <w:tblPr>
        <w:tblStyle w:val="Table14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Шаг движения прибыли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на прибыль операционной компании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Одна из самых низких в ЕС; при достижении порога выручки возможна корректировка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прибыли из Болгарии в холдинг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rPr/>
            </w:pPr>
            <w:sdt>
              <w:sdtPr>
                <w:id w:val="2065681518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По налоговому соглашению с Великобританией (доля ≥10%, не менее года)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Выплата дивидендов инвесторам из холдинга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 не удерживает налог на дивиденды ни при каком составе собственников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Продажа долей инвесторами (выход)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ноль*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*На уровне структуры. Налог в стране проживания инвестора — отдельно (раздел 8)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5.4 Иллюстрация: путь 1 млн € прибыли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807339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8073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Совокупная налоговая нагрузка составляет 10% и формируется только болгарским налогом на прибыль. Налог в стране проживания инвестора в иллюстрации не учтён.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Для сравнения — сколько из того же миллиона операционной прибыли дошло бы до инвестора при размещении операционной компании в разных странах НАТО и ЕС (далее — без потерь наверх и инвестору):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75744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757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5.5 Правовая основа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Выводы опираются на конкретные нормы: освобождение дивидендов между компаниями ЕС — Директива Совета 2011/96/ЕС; ноль при передаче из Болгарии в Великобританию — ст. 10 налогового соглашения 2015 года; освобождение дивидендов в Великобритании — ч. 9A Закона о корпоративном налоге 2009 года; освобождение при продаже долей — прил. 7AC к Закону 1992 года; Люксембург — ст. 147 и 166; международный минимальный налог — Директива 2022/2523. Полный перечень — в приложении.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6. Две модели владения правами на разработку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Под правами на разработку понимаются конструкторская документация, права на самолёт и патенты. Основной считается первая модель.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6.1 Модель 1 — права у операционной компании (рекомендуется)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Права принадлежат болгарской операционной компании. Прибыль облагается в Болгарии по 10%, поднимается в холдинг дивидендами без удержания и распределяется инвесторам. Лицензионные платежи не возникают.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Простота: нет лицензий, роялти и сложного учёта; меньше поводов для спора с налоговыми органами.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Согласованность: права и производство в одной компании, что отвечает международным правилам.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Надёжность: модель работает независимо от патентоспособности и участия подрядчиков в капитале.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6.2 Модель 2 — права у холдинга (потенциальная оптимизация)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 владеет правами, лицензирует их операционной компании и получает роялти. При льготном режиме для доходов от интеллектуальной собственности (IP-box) роялти облагаются по пониженной ставке: Люксембург — около 5,2% (только патенты и защищённое ПО), Нидерланды — около 9%, Великобритания и Ирландия — 10%. Применимость зависит от патентоспособности и независимости подрядчиков; для авиапроектов чаще работает только Модель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7. Риски и условия, от которых зависит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7.1 Деловая цель структуры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Налоговые льготы сохраняются только при наличии у структуры реальной деловой цели. У каждого элемента есть самостоятельное обоснование: холдинг объединяет инвесторов и обеспечивает управление и выход; операционная компания несёт реальные функции; продающая компания держит лицензию; сборка в Чехии использует сертифицированный завод; выбор Болгарии обусловлен не только ставкой.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7.2 Реальное присутствие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Нулевые и пониженные ставки действуют только при реальном присутствии: управлении, персонале, офисе и принятии решений по месту регистрации. Это требует расходов на содержание, которые следует заложить в бюджет.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7.3 Экономика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Финансовые показатели приведены в части I и отражают оценку инициаторов; они построены на коммерческих допущениях (цена, себестоимость, объёмы сбыта), которые инвестору следует подтвердить. Налоговые выводы применимы при любом уровне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7.4 Экспортный контроль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Экспорт боевых самолётов зависит от государственных лицензий, которые выдаются по усмотрению властей; круг покупателей ограничен. Отдельного внимания требует авионика IAI: она подпадает под израильский экспортный контроль, поэтому при её установке и реэкспорте необходимы разрешения и сертификат конечного пользователя.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7.5 Допуск иностранных собственников к оборонному активу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Прямого запрета на участие иностранных, в том числе ближневосточных, инвесторов в оборонных авиапроектах НАТО и ЕС не существует. Практика это подтверждает: суверенный фонд Абу-Даби Mubadala несколько лет владел итальянским Piaggio Aerospace; EDGE (ОАЭ) инвестирует в Польше, Эстонии и Швейцарии; Aero Vodochody — в частном владении. Вопрос не в запрете, а в условиях допуска.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Эти условия задаёт проверка иностранных инвестиций (в ЕС — Регламент 2019/452). В нашей структуре она затрагивает прежде всего Болгарию.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sdt>
        <w:sdtPr>
          <w:id w:val="-1933813876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c1c1c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Болгария — основная страна проверки. Режим введён поправками в Закон о поощрении инвестиций (в силе с 12.03.2024; правила — с 22.07.2025); порог — доля ≥10% или инвестиция &gt;2 млн €. Для инвестора с участием госоргана вне ЕС проверка обязательна; совет выносит решение в срок до 45 рабочих дней.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Чехия — проверка владения не возникает: завод Aero Vodochody группа не покупает, лишь размещает заказ.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Польша — значима только если завод второго этапа разместить в Польше.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Согласование иностранного владения — плановый этап запуска, а не препятствие. Чтобы пройти его уверенно, применяют отработанную в оборонной практике схему разделения экономического участия и контроля (в США — режим FOCI):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Инвесторы вне НАТО получают экономическое участие, но не контроль; для этого вводятся акции с ограниченным правом голоса.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Контроль над компанией-лицензиатом закрепляется за лицами из стран НАТО и ЕС: специальный класс акций, право вето, директора с допуском, соглашение о безопасности.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Предварительная консультация с болгарским регулятором проводится в начале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568756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5687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Разделение экономического участия и контроля: прибыль получают все инвесторы, а управление компанией-лицензиатом остаётся за лицами из стран НАТО и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7.6 В какой стране оформляется экспортная лицензия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Размещение лицензии в болгарской компании не решает вопрос автоматически. По Директиве 2009/43/ЕС (ст. 10) при экспорте товара за пределы ЕС получатель обязан соблюсти экспортные ограничения страны происхождения и при необходимости получить её согласие. Поскольку самолёт собирается в Чехии, чешские правила применяются и при продаже через Болгарию. Порядок лицензирования согласуется с чешским и болгарским регуляторами.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7.7 Коммерческие допущения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первого этапа предполагает согласие завода Aero Vodochody на сборку по заказу группы и исполнение обязательств ключевыми поставщиками; эти договорённости должны быть закреплены договорами.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8. Границы меморандума</w:t>
      </w:r>
      <w:r w:rsidDel="00000000" w:rsidR="00000000" w:rsidRPr="00000000">
        <w:rPr>
          <w:rtl w:val="0"/>
        </w:rPr>
      </w:r>
    </w:p>
    <w:tbl>
      <w:tblPr>
        <w:tblStyle w:val="Table15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охватывает меморандум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требует отдельной проработки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Выбор юрисдикций для холдинга, операционной и продающей компаний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Независимая проверка финансовой модели и коммерческих допущений (часть 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Движение прибыли и налог у источника на уровне структуры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инвестора в стране его проживания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Налогообложение инвесторов при распределении и выходе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прав инвесторов: акционерное соглашение, права меньшинства, выход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Принципиальная допустимость структуры поставок (раздел 7.6)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Допуск иностранных собственников к оборонному активу (раздел 7.5)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Корпоративный налог, дивиденды, роялти, прирост капитала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Прочие налоги (НДС, удержания по услугам), стоимость присутствия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i w:val="1"/>
          <w:iCs w:val="1"/>
          <w:color w:val="5f5f5f"/>
          <w:sz w:val="17"/>
          <w:szCs w:val="17"/>
          <w:rtl w:val="0"/>
        </w:rPr>
        <w:t xml:space="preserve">Настоящий меморандум подготовлен для предварительного обсуждения с инвесторами и не является окончательной налоговой или юридической консультацией. Ставки и правовые выводы приведены по состоянию на 2026 год; отдельные параметры подлежат подтверждению местными консультантами при внедрении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9. Акционерное соглашение: ключевые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Раздел задаёт каркас отношений между инвесторами и инициаторами на уровне холдинга. Это перечень ключевых условий для последующей детальной проработки юристами.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9.1 Стороны и капитал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Стороны — инвесторы и инициаторы проекта как акционеры британского холдинга.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 необходимости вводятся разные классы акций — чтобы отделить экономическое участие от права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Средства вносятся траншами по мере достижения этапов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9.2 Управление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Совет директоров: представители инвесторов и инициаторов и независимый директор; для оборонных и экспортных решений — директор из стран НАТО и ЕС с допуском к гостайне.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Квалифицированное большинство / вето по важнейшим вопросам: бюджет и крупные вложения, займы, эмиссия, сделки со связанными сторонами, передача прав на разработку, смена контроля, выбор экспортных рынков, M&amp;A, ликвидация.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 операционную реализацию отвечают инициаторы; предусматриваются удержание ключевых лиц и постепенное закрепление их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9.3 Защита миноритарных инвесторов и переход долей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Право на информацию, защита от размывания, право присоединиться к продаже на равных условиях.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Ограничения на отчуждение: запрет продажи на срок, право первоочередного выкупа.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Любая передача доли — только при прохождении проверки иностранных инвестиций и сохранении допуска к лицензии.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9.4 Выход и разрешение тупиковых ситуаций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Выход — публичное размещение или продажа стратегу; при квалифицированном большинстве миноритарии присоединяются к продаже.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Тупики разрешаются через эскалацию, посредничество и опционы выкупа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9.5 Применимое право и предварительные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Применимое право — английское; споры — международный арбитраж.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Ковенанты по экспортному контролю и санкциям; прозрачность бенефициарного владения.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Условия закрытия: разрешение болгарского регулятора, согласованный порядок экспортного лицензирования, договоры с Aero Vodochody, IAI и поставщиками двигателя.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Приложение. Правовые источники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Первичные правовые акты с указанием статей; сверены по официальным текстам и подлежат подтверждению местными юристами.</w:t>
      </w:r>
      <w:r w:rsidDel="00000000" w:rsidR="00000000" w:rsidRPr="00000000">
        <w:rPr>
          <w:rtl w:val="0"/>
        </w:rPr>
      </w:r>
    </w:p>
    <w:tbl>
      <w:tblPr>
        <w:tblStyle w:val="Table16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Вопрос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дивидендов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2011/96/ЕС от 30.11.2011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роялти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2003/49/ЕС: ст. 3 (порог 25%), ст. 1(10) (срок до 2 лет)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Международный минимальный налог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(ЕС) 2022/2523 от 14.12.2022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rPr/>
            </w:pPr>
            <w:sdt>
              <w:sdtPr>
                <w:id w:val="1800721114"/>
                <w:tag w:val="goog_rdk_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Болгария → Великобритания, дивиденды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Соглашение 2015 года (SI 2015/1891),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дивидендов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налоге 2009 года, часть 9A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при продаже долей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налоге на прирост капитала 1992 года, приложение 7AC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Люксембург: освобождение участия / удержание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подоходном налоге (LIR), статьи 166 и 147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Болгария: налог на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подоходном налоге, статья 20 — 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(ЕС)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Регламент (ЕС) 2019/452 от 19.03.2019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поощрении инвестиций (в силе с 12.03.2024; правила — 22.07.2025)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(Чехия)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№ 34/2021 Coll. (в силе с 01.05.2021)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оборонной продукции внутри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2009/43/ЕС,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инвестиций (примеры договоров)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rPr/>
            </w:pPr>
            <w:sdt>
              <w:sdtPr>
                <w:id w:val="-29390851"/>
                <w:tag w:val="goog_rdk_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Великобритания—Болгария (1995), —Чехия (1990); инвестор→холдинг: UK—ОАЭ (1992), BLEU—ОАЭ (2004), —Саудовская Аравия (2001)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3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footerReference r:id="rId14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c1c1c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5f5f5f"/>
        <w:sz w:val="15"/>
        <w:szCs w:val="15"/>
        <w:rtl w:val="0"/>
      </w:rPr>
      <w:t xml:space="preserve">М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f5f5f"/>
        <w:sz w:val="15"/>
        <w:szCs w:val="15"/>
        <w:u w:val="none"/>
        <w:shd w:fill="auto" w:val="clear"/>
        <w:vertAlign w:val="baseline"/>
        <w:rtl w:val="0"/>
      </w:rPr>
      <w:t xml:space="preserve">еморандум · проект STRIKER · конфиденциально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c1c1c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/>
    </w:tblPr>
    <w:tcPr>
      <w:shd w:fill="fdfdfc" w:val="clear"/>
    </w:tc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fGPSEF/Ae6BZdK1c5cfEYggC1g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lCgE4EiAKHggHQhoKBlJvYm90bxIQQXJpYWwgVW5pY29kZSBNUxodCgE5EhgKFggHQhISEEFyaWFsIFVuaWNvZGUgTVMaHgoCMTASGAoWCAdCEhIQQXJpYWwgVW5pY29kZSBNUxoeCgIxMRIYChYIB0ISEhBBcmlhbCBVbmljb2RlIE1TGiYKAjEyEiAKHggHQhoKBlJvYm90bxIQQXJpYWwgVW5pY29kZSBNUxomCgIxMxIgCh4IB0IaCgZSb2JvdG8SEEFyaWFsIFVuaWNvZGUgTVMaJgoCMTQSIAoeCAdCGgoGUm9ib3RvEhBBcmlhbCBVbmljb2RlIE1TGh8KAjE1EhkKFwgHQhMKBlJvYm90bxIJTm92YSBNb25vGiYKAjE2EiAKHggHQhoKBlJvYm90bxIQQXJpYWwgVW5pY29kZSBNUxomCgIxNxIgCh4IB0IaCgZSb2JvdG8SEEFyaWFsIFVuaWNvZGUgTVMaHwoCMTgSGQoXCAdCEwoGUm9ib3RvEglOb3ZhIE1vbm8aJgoCMTkSIAoeCAdCGgoGUm9ib3RvEhBBcmlhbCBVbmljb2RlIE1TGh8KAjIwEhkKFwgHQhMKBlJvYm90bxIJTm92YSBNb25vGiAKAjIxEhoKGAgJUhQKEnRhYmxlLmF2MHdveHg4NzJraRomCgIyMhIgCh4IB0IaCgZSb2JvdG8SEEFyaWFsIFVuaWNvZGUgTVMaIAoCMjMSGgoYCAlSFAoSdGFibGUuZXJ4OW9rYXc5OXR0GiYKAjI0EiAKHggHQhoKBlJvYm90bxIQQXJpYWwgVW5pY29kZSBNUxomCgIyNRIgCh4IB0IaCgZSb2JvdG8SEEFyaWFsIFVuaWNvZGUgTVMaJgoCMjYSIAoeCAdCGgoGUm9ib3RvEhBBcmlhbCBVbmljb2RlIE1TGiYKAjI3EiAKHggHQhoKBlJvYm90bxIQQXJpYWwgVW5pY29kZSBNUxomCgIyOBIgCh4IB0IaCgZSb2JvdG8SEEFyaWFsIFVuaWNvZGUgTVMaJgoCMjkSIAoeCAdCGgoGUm9ib3RvEhBBcmlhbCBVbmljb2RlIE1TGiYKAjMwEiAKHggHQhoKBlJvYm90bxIQQXJpYWwgVW5pY29kZSBNUxomCgIzMRIgCh4IB0IaCgZSb2JvdG8SEEFyaWFsIFVuaWNvZGUgTVMaJgoCMzISIAoeCAdCGgoGUm9ib3RvEhBBcmlhbCBVbmljb2RlIE1TGh4KAjMzEhgKFggHQhISEEFyaWFsIFVuaWNvZGUgTVMaJQoCMzQSHwodCAdCGQoFQXJpYWwSEEFyaWFsIFVuaWNvZGUgTVMaHgoCMzUSGAoWCAdCEhIQQXJpYWwgVW5pY29kZSBNUxoeCgIzNhIYChYIB0ISEhBBcmlhbCBVbmljb2RlIE1TMg5oLnZxeXZ1YjM2cDV4ZTIOaC5zcXg3MDVmNXlsY2cyDmgub3RyNXJrMTVwb2I0Mg5oLnV1YXlrZW1tcHJnODIOaC5pNng5bzR0enVjaGUyDmguNjRwdzU3Z3dvb3E2Mg5oLnhiNHJmN3N6bHRwdTIOaC4xdzJ1bGcxNjB5NG84AGolChNzdWdnZXN0LnZ6ZzJrOGsxaW53Eg5TZXJnaWkgQmFyaW5vdnIhMWJhenptVlUtWTR2RFhJYnpoWDNfbHZhbzlONHpobX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