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4"/>
          <w:szCs w:val="34"/>
        </w:rPr>
        <w:t xml:space="preserve">ПОЯСНИТЕЛЬНАЯ ЗАПИСКА</w:t>
      </w:r>
    </w:p>
    <w:p>
      <w:pPr>
        <w:spacing w:after="240"/>
      </w:pPr>
      <w:r>
        <w:rPr>
          <w:i/>
          <w:iCs/>
          <w:color w:val="595959"/>
          <w:sz w:val="22"/>
          <w:szCs w:val="22"/>
        </w:rPr>
        <w:t xml:space="preserve">Проект: завод по регенерации отработанных масел в базовое масло API Group II (г. Бургас, Болгария) · Этапы по сырью: 10 → 20 → 30 тыс. т/год · Статус: предынвестиционная проработка</w:t>
      </w:r>
    </w:p>
    <w:p>
      <w:pPr>
        <w:spacing w:after="120" w:line="276"/>
        <w:jc w:val="both"/>
      </w:pPr>
      <w:r>
        <w:rPr>
          <w:b/>
          <w:bCs/>
        </w:rPr>
        <w:t xml:space="preserve">Для китайского партнёра.</w:t>
      </w:r>
      <w:r>
        <w:t xml:space="preserve"> Документ описывает суть проекта, рынок, законодательство, технологию и экономику. Русская версия — ниже; 中文版本 — во второй части. Все ключевые цифры подтверждены источниками [n] (список в конце).</w:t>
      </w:r>
    </w:p>
    <w:p>
      <w:pPr>
        <w:pStyle w:val="Heading1"/>
        <w:spacing w:after="120" w:before="260"/>
      </w:pPr>
      <w:r>
        <w:t xml:space="preserve">ЧАСТЬ I — РУССКАЯ ВЕРСИЯ</w:t>
      </w:r>
    </w:p>
    <w:p>
      <w:pPr>
        <w:pStyle w:val="Heading2"/>
        <w:spacing w:after="100" w:before="200"/>
      </w:pPr>
      <w:r>
        <w:t xml:space="preserve">1. Суть проекта</w:t>
      </w:r>
    </w:p>
    <w:p>
      <w:pPr>
        <w:spacing w:after="120" w:line="276"/>
        <w:jc w:val="both"/>
      </w:pPr>
      <w:r>
        <w:t xml:space="preserve">Создание в г. Бургас (Болгария) предприятия по переработке отработанных минеральных масел (моторных, трансмиссионных, гидравлических, индустриальных) в регенерированное базовое масло качества </w:t>
      </w:r>
      <w:r>
        <w:rPr>
          <w:b/>
          <w:bCs/>
        </w:rPr>
        <w:t xml:space="preserve">API Group II</w:t>
      </w:r>
      <w:r>
        <w:t xml:space="preserve"> (сера &lt; 0,03 %, насыщенные углеводороды &gt; 90 %, индекс вязкости 80–120). Технология — китайского партнёра (вакуумная дистилляция + доочистка, соответствующая экологическим нормам КНР); ключевое оборудование — </w:t>
      </w:r>
      <w:r>
        <w:rPr>
          <w:b/>
          <w:bCs/>
        </w:rPr>
        <w:t xml:space="preserve">JingJin Equipment Inc.</w:t>
      </w:r>
      <w:r>
        <w:t xml:space="preserve"> (Дэчжоу, Шаньдун; код акции 603279).</w:t>
      </w:r>
    </w:p>
    <w:p>
      <w:pPr>
        <w:spacing w:after="120" w:line="276"/>
        <w:jc w:val="both"/>
      </w:pPr>
      <w:r>
        <w:rPr>
          <w:b/>
          <w:bCs/>
        </w:rPr>
        <w:t xml:space="preserve">Мощность вводится поэтапно, по мере наращивания сырьевой базы:</w:t>
      </w:r>
    </w:p>
    <w:tbl>
      <w:tblPr>
        <w:tblW w:type="dxa" w:w="9020"/>
        <w:tblBorders>
          <w:top w:val="single" w:color="AAB4CC" w:sz="4"/>
          <w:left w:val="single" w:color="AAB4CC" w:sz="4"/>
          <w:bottom w:val="single" w:color="AAB4CC" w:sz="4"/>
          <w:right w:val="single" w:color="AAB4CC" w:sz="4"/>
          <w:insideH w:val="single" w:color="CCD3E0" w:sz="2"/>
          <w:insideV w:val="single" w:color="CCD3E0" w:sz="2"/>
        </w:tblBorders>
      </w:tblPr>
      <w:tblGrid>
        <w:gridCol w:w="1200"/>
        <w:gridCol w:w="1600"/>
        <w:gridCol w:w="1200"/>
        <w:gridCol w:w="2400"/>
        <w:gridCol w:w="2620"/>
      </w:tblGrid>
      <w:tr>
        <w:trPr>
          <w:tblHeader/>
        </w:trPr>
        <w:tc>
          <w:tcPr>
            <w:tcW w:type="dxa" w:w="1200"/>
            <w:shd w:fill="1F3864" w:val="clear"/>
            <w:tcMar>
              <w:top w:type="dxa" w:w="40"/>
              <w:left w:type="dxa" w:w="80"/>
              <w:bottom w:type="dxa" w:w="40"/>
              <w:right w:type="dxa" w:w="80"/>
            </w:tcMar>
          </w:tcPr>
          <w:p>
            <w:pPr>
              <w:spacing w:after="20" w:before="20" w:line="252"/>
              <w:jc w:val="left"/>
            </w:pPr>
            <w:r>
              <w:rPr>
                <w:b/>
                <w:bCs/>
                <w:color w:val="FFFFFF"/>
              </w:rPr>
              <w:t xml:space="preserve">Этап</w:t>
            </w:r>
          </w:p>
        </w:tc>
        <w:tc>
          <w:tcPr>
            <w:tcW w:type="dxa" w:w="1600"/>
            <w:shd w:fill="1F3864" w:val="clear"/>
            <w:tcMar>
              <w:top w:type="dxa" w:w="40"/>
              <w:left w:type="dxa" w:w="80"/>
              <w:bottom w:type="dxa" w:w="40"/>
              <w:right w:type="dxa" w:w="80"/>
            </w:tcMar>
          </w:tcPr>
          <w:p>
            <w:pPr>
              <w:spacing w:after="20" w:before="20" w:line="252"/>
              <w:jc w:val="left"/>
            </w:pPr>
            <w:r>
              <w:rPr>
                <w:b/>
                <w:bCs/>
                <w:color w:val="FFFFFF"/>
              </w:rPr>
              <w:t xml:space="preserve">Сырьё, т/год</w:t>
            </w:r>
          </w:p>
        </w:tc>
        <w:tc>
          <w:tcPr>
            <w:tcW w:type="dxa" w:w="1200"/>
            <w:shd w:fill="1F3864" w:val="clear"/>
            <w:tcMar>
              <w:top w:type="dxa" w:w="40"/>
              <w:left w:type="dxa" w:w="80"/>
              <w:bottom w:type="dxa" w:w="40"/>
              <w:right w:type="dxa" w:w="80"/>
            </w:tcMar>
          </w:tcPr>
          <w:p>
            <w:pPr>
              <w:spacing w:after="20" w:before="20" w:line="252"/>
              <w:jc w:val="left"/>
            </w:pPr>
            <w:r>
              <w:rPr>
                <w:b/>
                <w:bCs/>
                <w:color w:val="FFFFFF"/>
              </w:rPr>
              <w:t xml:space="preserve">~т/сутки</w:t>
            </w:r>
          </w:p>
        </w:tc>
        <w:tc>
          <w:tcPr>
            <w:tcW w:type="dxa" w:w="2400"/>
            <w:shd w:fill="1F3864" w:val="clear"/>
            <w:tcMar>
              <w:top w:type="dxa" w:w="40"/>
              <w:left w:type="dxa" w:w="80"/>
              <w:bottom w:type="dxa" w:w="40"/>
              <w:right w:type="dxa" w:w="80"/>
            </w:tcMar>
          </w:tcPr>
          <w:p>
            <w:pPr>
              <w:spacing w:after="20" w:before="20" w:line="252"/>
              <w:jc w:val="left"/>
            </w:pPr>
            <w:r>
              <w:rPr>
                <w:b/>
                <w:bCs/>
                <w:color w:val="FFFFFF"/>
              </w:rPr>
              <w:t xml:space="preserve">Продукт Group II (~72 %)</w:t>
            </w:r>
          </w:p>
        </w:tc>
        <w:tc>
          <w:tcPr>
            <w:tcW w:type="dxa" w:w="2620"/>
            <w:shd w:fill="1F3864" w:val="clear"/>
            <w:tcMar>
              <w:top w:type="dxa" w:w="40"/>
              <w:left w:type="dxa" w:w="80"/>
              <w:bottom w:type="dxa" w:w="40"/>
              <w:right w:type="dxa" w:w="80"/>
            </w:tcMar>
          </w:tcPr>
          <w:p>
            <w:pPr>
              <w:spacing w:after="20" w:before="20" w:line="252"/>
              <w:jc w:val="left"/>
            </w:pPr>
            <w:r>
              <w:rPr>
                <w:b/>
                <w:bCs/>
                <w:color w:val="FFFFFF"/>
              </w:rPr>
              <w:t xml:space="preserve">Смысл этапа</w:t>
            </w:r>
          </w:p>
        </w:tc>
      </w:tr>
      <w:tr>
        <w:tc>
          <w:tcPr>
            <w:tcW w:type="dxa" w:w="1200"/>
            <w:shd w:fill="FFFFFF" w:val="clear"/>
            <w:tcMar>
              <w:top w:type="dxa" w:w="40"/>
              <w:left w:type="dxa" w:w="80"/>
              <w:bottom w:type="dxa" w:w="40"/>
              <w:right w:type="dxa" w:w="80"/>
            </w:tcMar>
          </w:tcPr>
          <w:p>
            <w:pPr>
              <w:spacing w:after="20" w:before="20" w:line="252"/>
              <w:jc w:val="left"/>
            </w:pPr>
            <w:r>
              <w:t xml:space="preserve">Этап 1</w:t>
            </w:r>
          </w:p>
        </w:tc>
        <w:tc>
          <w:tcPr>
            <w:tcW w:type="dxa" w:w="1600"/>
            <w:shd w:fill="FFFFFF" w:val="clear"/>
            <w:tcMar>
              <w:top w:type="dxa" w:w="40"/>
              <w:left w:type="dxa" w:w="80"/>
              <w:bottom w:type="dxa" w:w="40"/>
              <w:right w:type="dxa" w:w="80"/>
            </w:tcMar>
          </w:tcPr>
          <w:p>
            <w:pPr>
              <w:spacing w:after="20" w:before="20" w:line="252"/>
              <w:jc w:val="left"/>
            </w:pPr>
            <w:r>
              <w:t xml:space="preserve">10 000</w:t>
            </w:r>
          </w:p>
        </w:tc>
        <w:tc>
          <w:tcPr>
            <w:tcW w:type="dxa" w:w="1200"/>
            <w:shd w:fill="FFFFFF" w:val="clear"/>
            <w:tcMar>
              <w:top w:type="dxa" w:w="40"/>
              <w:left w:type="dxa" w:w="80"/>
              <w:bottom w:type="dxa" w:w="40"/>
              <w:right w:type="dxa" w:w="80"/>
            </w:tcMar>
          </w:tcPr>
          <w:p>
            <w:pPr>
              <w:spacing w:after="20" w:before="20" w:line="252"/>
              <w:jc w:val="left"/>
            </w:pPr>
            <w:r>
              <w:t xml:space="preserve">~33</w:t>
            </w:r>
          </w:p>
        </w:tc>
        <w:tc>
          <w:tcPr>
            <w:tcW w:type="dxa" w:w="2400"/>
            <w:shd w:fill="FFFFFF" w:val="clear"/>
            <w:tcMar>
              <w:top w:type="dxa" w:w="40"/>
              <w:left w:type="dxa" w:w="80"/>
              <w:bottom w:type="dxa" w:w="40"/>
              <w:right w:type="dxa" w:w="80"/>
            </w:tcMar>
          </w:tcPr>
          <w:p>
            <w:pPr>
              <w:spacing w:after="20" w:before="20" w:line="252"/>
              <w:jc w:val="left"/>
            </w:pPr>
            <w:r>
              <w:t xml:space="preserve">~7 200 т/год</w:t>
            </w:r>
          </w:p>
        </w:tc>
        <w:tc>
          <w:tcPr>
            <w:tcW w:type="dxa" w:w="2620"/>
            <w:shd w:fill="FFFFFF" w:val="clear"/>
            <w:tcMar>
              <w:top w:type="dxa" w:w="40"/>
              <w:left w:type="dxa" w:w="80"/>
              <w:bottom w:type="dxa" w:w="40"/>
              <w:right w:type="dxa" w:w="80"/>
            </w:tcMar>
          </w:tcPr>
          <w:p>
            <w:pPr>
              <w:spacing w:after="20" w:before="20" w:line="252"/>
              <w:jc w:val="left"/>
            </w:pPr>
            <w:r>
              <w:t xml:space="preserve">вход в рынок, отработка технологии, база сбора</w:t>
            </w:r>
          </w:p>
        </w:tc>
      </w:tr>
      <w:tr>
        <w:tc>
          <w:tcPr>
            <w:tcW w:type="dxa" w:w="1200"/>
            <w:shd w:fill="EEF1F8" w:val="clear"/>
            <w:tcMar>
              <w:top w:type="dxa" w:w="40"/>
              <w:left w:type="dxa" w:w="80"/>
              <w:bottom w:type="dxa" w:w="40"/>
              <w:right w:type="dxa" w:w="80"/>
            </w:tcMar>
          </w:tcPr>
          <w:p>
            <w:pPr>
              <w:spacing w:after="20" w:before="20" w:line="252"/>
              <w:jc w:val="left"/>
            </w:pPr>
            <w:r>
              <w:t xml:space="preserve">Этап 2</w:t>
            </w:r>
          </w:p>
        </w:tc>
        <w:tc>
          <w:tcPr>
            <w:tcW w:type="dxa" w:w="1600"/>
            <w:shd w:fill="EEF1F8" w:val="clear"/>
            <w:tcMar>
              <w:top w:type="dxa" w:w="40"/>
              <w:left w:type="dxa" w:w="80"/>
              <w:bottom w:type="dxa" w:w="40"/>
              <w:right w:type="dxa" w:w="80"/>
            </w:tcMar>
          </w:tcPr>
          <w:p>
            <w:pPr>
              <w:spacing w:after="20" w:before="20" w:line="252"/>
              <w:jc w:val="left"/>
            </w:pPr>
            <w:r>
              <w:t xml:space="preserve">20 000</w:t>
            </w:r>
          </w:p>
        </w:tc>
        <w:tc>
          <w:tcPr>
            <w:tcW w:type="dxa" w:w="1200"/>
            <w:shd w:fill="EEF1F8" w:val="clear"/>
            <w:tcMar>
              <w:top w:type="dxa" w:w="40"/>
              <w:left w:type="dxa" w:w="80"/>
              <w:bottom w:type="dxa" w:w="40"/>
              <w:right w:type="dxa" w:w="80"/>
            </w:tcMar>
          </w:tcPr>
          <w:p>
            <w:pPr>
              <w:spacing w:after="20" w:before="20" w:line="252"/>
              <w:jc w:val="left"/>
            </w:pPr>
            <w:r>
              <w:t xml:space="preserve">~67</w:t>
            </w:r>
          </w:p>
        </w:tc>
        <w:tc>
          <w:tcPr>
            <w:tcW w:type="dxa" w:w="2400"/>
            <w:shd w:fill="EEF1F8" w:val="clear"/>
            <w:tcMar>
              <w:top w:type="dxa" w:w="40"/>
              <w:left w:type="dxa" w:w="80"/>
              <w:bottom w:type="dxa" w:w="40"/>
              <w:right w:type="dxa" w:w="80"/>
            </w:tcMar>
          </w:tcPr>
          <w:p>
            <w:pPr>
              <w:spacing w:after="20" w:before="20" w:line="252"/>
              <w:jc w:val="left"/>
            </w:pPr>
            <w:r>
              <w:t xml:space="preserve">~14 400 т/год</w:t>
            </w:r>
          </w:p>
        </w:tc>
        <w:tc>
          <w:tcPr>
            <w:tcW w:type="dxa" w:w="2620"/>
            <w:shd w:fill="EEF1F8" w:val="clear"/>
            <w:tcMar>
              <w:top w:type="dxa" w:w="40"/>
              <w:left w:type="dxa" w:w="80"/>
              <w:bottom w:type="dxa" w:w="40"/>
              <w:right w:type="dxa" w:w="80"/>
            </w:tcMar>
          </w:tcPr>
          <w:p>
            <w:pPr>
              <w:spacing w:after="20" w:before="20" w:line="252"/>
              <w:jc w:val="left"/>
            </w:pPr>
            <w:r>
              <w:t xml:space="preserve">расширение сети сбора и сбыта</w:t>
            </w:r>
          </w:p>
        </w:tc>
      </w:tr>
      <w:tr>
        <w:tc>
          <w:tcPr>
            <w:tcW w:type="dxa" w:w="1200"/>
            <w:shd w:fill="FFFFFF" w:val="clear"/>
            <w:tcMar>
              <w:top w:type="dxa" w:w="40"/>
              <w:left w:type="dxa" w:w="80"/>
              <w:bottom w:type="dxa" w:w="40"/>
              <w:right w:type="dxa" w:w="80"/>
            </w:tcMar>
          </w:tcPr>
          <w:p>
            <w:pPr>
              <w:spacing w:after="20" w:before="20" w:line="252"/>
              <w:jc w:val="left"/>
            </w:pPr>
            <w:r>
              <w:t xml:space="preserve">Этап 3</w:t>
            </w:r>
          </w:p>
        </w:tc>
        <w:tc>
          <w:tcPr>
            <w:tcW w:type="dxa" w:w="1600"/>
            <w:shd w:fill="FFFFFF" w:val="clear"/>
            <w:tcMar>
              <w:top w:type="dxa" w:w="40"/>
              <w:left w:type="dxa" w:w="80"/>
              <w:bottom w:type="dxa" w:w="40"/>
              <w:right w:type="dxa" w:w="80"/>
            </w:tcMar>
          </w:tcPr>
          <w:p>
            <w:pPr>
              <w:spacing w:after="20" w:before="20" w:line="252"/>
              <w:jc w:val="left"/>
            </w:pPr>
            <w:r>
              <w:t xml:space="preserve">30 000</w:t>
            </w:r>
          </w:p>
        </w:tc>
        <w:tc>
          <w:tcPr>
            <w:tcW w:type="dxa" w:w="1200"/>
            <w:shd w:fill="FFFFFF" w:val="clear"/>
            <w:tcMar>
              <w:top w:type="dxa" w:w="40"/>
              <w:left w:type="dxa" w:w="80"/>
              <w:bottom w:type="dxa" w:w="40"/>
              <w:right w:type="dxa" w:w="80"/>
            </w:tcMar>
          </w:tcPr>
          <w:p>
            <w:pPr>
              <w:spacing w:after="20" w:before="20" w:line="252"/>
              <w:jc w:val="left"/>
            </w:pPr>
            <w:r>
              <w:t xml:space="preserve">~100</w:t>
            </w:r>
          </w:p>
        </w:tc>
        <w:tc>
          <w:tcPr>
            <w:tcW w:type="dxa" w:w="2400"/>
            <w:shd w:fill="FFFFFF" w:val="clear"/>
            <w:tcMar>
              <w:top w:type="dxa" w:w="40"/>
              <w:left w:type="dxa" w:w="80"/>
              <w:bottom w:type="dxa" w:w="40"/>
              <w:right w:type="dxa" w:w="80"/>
            </w:tcMar>
          </w:tcPr>
          <w:p>
            <w:pPr>
              <w:spacing w:after="20" w:before="20" w:line="252"/>
              <w:jc w:val="left"/>
            </w:pPr>
            <w:r>
              <w:t xml:space="preserve">~21 600 т/год</w:t>
            </w:r>
          </w:p>
        </w:tc>
        <w:tc>
          <w:tcPr>
            <w:tcW w:type="dxa" w:w="2620"/>
            <w:shd w:fill="FFFFFF" w:val="clear"/>
            <w:tcMar>
              <w:top w:type="dxa" w:w="40"/>
              <w:left w:type="dxa" w:w="80"/>
              <w:bottom w:type="dxa" w:w="40"/>
              <w:right w:type="dxa" w:w="80"/>
            </w:tcMar>
          </w:tcPr>
          <w:p>
            <w:pPr>
              <w:spacing w:after="20" w:before="20" w:line="252"/>
              <w:jc w:val="left"/>
            </w:pPr>
            <w:r>
              <w:t xml:space="preserve">проектная мощность, крупнейший Group II на Балканах ЕС</w:t>
            </w:r>
          </w:p>
        </w:tc>
      </w:tr>
    </w:tbl>
    <w:p>
      <w:pPr>
        <w:spacing w:after="60"/>
      </w:pPr>
    </w:p>
    <w:p>
      <w:pPr>
        <w:spacing w:after="120" w:line="276"/>
        <w:jc w:val="both"/>
      </w:pPr>
      <w:r>
        <w:t xml:space="preserve">Архитектура завода — </w:t>
      </w:r>
      <w:r>
        <w:rPr>
          <w:b/>
          <w:bCs/>
        </w:rPr>
        <w:t xml:space="preserve">модульная</w:t>
      </w:r>
      <w:r>
        <w:t xml:space="preserve">: разрешения и инфраструктура закладываются сразу под 30 000 т/год, а технологические линии добавляются модулями. Побочные продукты — газойлевая фракция и асфальтеновый (битумный) остаток. Дальнейшее масштабирование (в перспективе — до «большого сегмента» в десятки тысяч тонн в месяц) возможно только по модели импортного хаба и рассматривается как стратегический горизонт после этапа 3, а не как текущая цель.</w:t>
      </w:r>
    </w:p>
    <w:p>
      <w:pPr>
        <w:pStyle w:val="Heading2"/>
        <w:spacing w:after="100" w:before="200"/>
      </w:pPr>
      <w:r>
        <w:t xml:space="preserve">2. Рынок сырья: Болгария</w:t>
      </w:r>
    </w:p>
    <w:p>
      <w:pPr>
        <w:spacing w:after="120" w:line="276"/>
        <w:jc w:val="both"/>
      </w:pPr>
      <w:r>
        <w:t xml:space="preserve">Болгария — рынок с большим разрывом между образованием и легальным сбором. По данным BAR, официально собирается лишь ~11,5 тыс. т/год, значительная часть масла сжигается нерегламентированно или уходит в серый оборот. По ИАОС, за детализированный год оползотворено 13 569 т, из них регенерацией 12 310 т. Оценочно образуется 35–50 тыс. т/год при потреблении смазок 70–90 тыс. т/год. [1][2]</w:t>
      </w:r>
    </w:p>
    <w:p>
      <w:pPr>
        <w:spacing w:after="120" w:line="276"/>
        <w:jc w:val="both"/>
      </w:pPr>
      <w:r>
        <w:rPr>
          <w:b/>
          <w:bCs/>
        </w:rPr>
        <w:t xml:space="preserve">Вывод по сырью:</w:t>
      </w:r>
      <w:r>
        <w:t xml:space="preserve"> цели 10–30 тыс. т/год </w:t>
      </w:r>
      <w:r>
        <w:rPr>
          <w:b/>
          <w:bCs/>
        </w:rPr>
        <w:t xml:space="preserve">обеспечены</w:t>
      </w:r>
      <w:r>
        <w:t xml:space="preserve">. Этап 1 (10 тыс. т/год) меньше сегодняшнего легального сбора страны; проектные 30 тыс. т/год покрываются болгарским сбором + региональным потоком + тендерами госпредприятий + умеренным импортом. Главная задача — не наличие масла, а инфраструктура сбора и цена, вытягивающая его из серого сектора.</w:t>
      </w:r>
    </w:p>
    <w:p>
      <w:pPr>
        <w:spacing w:after="120" w:line="276"/>
        <w:jc w:val="both"/>
      </w:pPr>
      <w:r>
        <w:rPr>
          <w:b/>
          <w:bCs/>
        </w:rPr>
        <w:t xml:space="preserve">Государственные предприятия как канал сырья.</w:t>
      </w:r>
      <w:r>
        <w:t xml:space="preserve"> В Болгарии много государственных генераторов отработанного масла — «Мини Марица-изток» ЕАД (угольные разрезы), «ТЕЦ Марица изток 2» ЕАД, «АЕЦ Козлодуй» ЕАД, «Холдинг БДЖ» ЕАД (железные дороги), «Столичен електротранспорт» ЕАД, гос. порты, ВиК, оборонные заводы. По закону они обязаны сдавать масло только лицензированным операторам и делают это через </w:t>
      </w:r>
      <w:r>
        <w:rPr>
          <w:b/>
          <w:bCs/>
        </w:rPr>
        <w:t xml:space="preserve">публичные тендеры на продажу</w:t>
      </w:r>
      <w:r>
        <w:t xml:space="preserve"> (ЗОП). Документированные примеры: «Мини Марица-изток» (~80 т), «Столичен електротранспорт» (2024), «Асарел-Медет». Завод может системно выигрывать эти тендеры — прозрачный контрактуемый канал. [13][14]</w:t>
      </w:r>
    </w:p>
    <w:p>
      <w:pPr>
        <w:spacing w:after="120" w:line="276"/>
        <w:jc w:val="both"/>
      </w:pPr>
      <w:r>
        <w:rPr>
          <w:b/>
          <w:bCs/>
        </w:rPr>
        <w:t xml:space="preserve">Конкуренты по переработке в Болгарии — фактически два:</w:t>
      </w:r>
      <w:r>
        <w:t xml:space="preserve"> «Лубрика» ООД (Русе, малые объёмы, Group I) и «Полихим-СС» ЕООД (Луковит, &gt;50 т/сутки, КР № 440-N2/2024, но продукт Group I, технология устарела). Современного Group II-завода в стране нет — ниша свободна. [3]</w:t>
      </w:r>
    </w:p>
    <w:p>
      <w:pPr>
        <w:spacing w:after="120" w:line="276"/>
        <w:jc w:val="both"/>
      </w:pPr>
      <w:r>
        <w:rPr>
          <w:b/>
          <w:bCs/>
        </w:rPr>
        <w:t xml:space="preserve">Цена сырья:</w:t>
      </w:r>
      <w:r>
        <w:t xml:space="preserve"> документально 0,13 €/л в пункте сдачи до 0,25–0,40 €/л (~120–350 €/т) по действующим предложениям 2024–2026 гг. Для модели заложена закупка 250–300 €/т с собственной сборной сетью. [4]</w:t>
      </w:r>
    </w:p>
    <w:p>
      <w:pPr>
        <w:pStyle w:val="Heading2"/>
        <w:spacing w:after="100" w:before="200"/>
      </w:pPr>
      <w:r>
        <w:t xml:space="preserve">3. Рынок сбыта: базовое масло Group II</w:t>
      </w:r>
    </w:p>
    <w:p>
      <w:pPr>
        <w:spacing w:after="120" w:line="276"/>
        <w:jc w:val="both"/>
      </w:pPr>
      <w:r>
        <w:rPr>
          <w:b/>
          <w:bCs/>
        </w:rPr>
        <w:t xml:space="preserve">Мировой и европейский контекст.</w:t>
      </w:r>
      <w:r>
        <w:t xml:space="preserve"> Мировой рынок регенерированных базовых масел (RRBO) оценивается по-разному: ~2,47 млрд $ в 2025 г. → ~4,2 млрд $ к 2034 г. (Straits Research), другие агентства — ~2,2 млрд $ (2023) → ~3,7–3,9 млрд $ (2032–2033), CAGR ~6 %. Во всех оценках Group II — крупнейший сегмент. Регенерация потребляет меньше энергии, чем производство базового масла из нефти (в источниках приводится «до ~50 %»; точная величина зависит от технологии). В Европе суммарная регенерационная мощность ~877 тыс. т/год, преимущественно Group I; высококачественного Group II из регенерата структурно не хватает. ExxonMobil в 2025 г. запускает собственный проект Group II-регенерата (Гравеншон + Роттердам, сырьё от Eco Huile) — крупнейший игрок легитимизирует нишу. [5][6][15]</w:t>
      </w:r>
    </w:p>
    <w:p>
      <w:pPr>
        <w:spacing w:after="120" w:line="276"/>
        <w:jc w:val="both"/>
      </w:pPr>
      <w:r>
        <w:rPr>
          <w:b/>
          <w:bCs/>
        </w:rPr>
        <w:t xml:space="preserve">Цены (важно — волатильны).</w:t>
      </w:r>
      <w:r>
        <w:t xml:space="preserve"> По Lubes’N’Greases (EMEA), цены Group II заметно выросли: если старые отчёты давали ~1 075–1 200 €/т, то в начале 2026 г. 150N — ~1 545–1 575 €/т, с весенними пиками до ~2 000 €/т; при этом на рынке США в конце 2025 г. 220N опускался до ~650–675 $/т (перепроизводство). Регенерат обычно с дисконтом к первичному, «зелёная» премия дисконт сокращает. В расчётах </w:t>
      </w:r>
      <w:r>
        <w:rPr>
          <w:b/>
          <w:bCs/>
        </w:rPr>
        <w:t xml:space="preserve">консервативно</w:t>
      </w:r>
      <w:r>
        <w:t xml:space="preserve"> принята цена реализации 850–950 €/т — то есть модель не зависит от текущих высоких цен и имеет запас вверх. Точную цену на момент пуска предсказать нельзя (нет данных). [7]</w:t>
      </w:r>
    </w:p>
    <w:p>
      <w:pPr>
        <w:spacing w:after="120" w:line="276"/>
        <w:jc w:val="both"/>
      </w:pPr>
      <w:r>
        <w:rPr>
          <w:b/>
          <w:bCs/>
        </w:rPr>
        <w:t xml:space="preserve">Балканский радиус сбыта (500–800 км от Бургаса) — дефицитный:</w:t>
      </w:r>
    </w:p>
    <w:p>
      <w:pPr>
        <w:pStyle w:val="ListParagraph"/>
        <w:numPr>
          <w:ilvl w:val="0"/>
          <w:numId w:val="2"/>
        </w:numPr>
        <w:spacing w:after="60" w:line="264"/>
        <w:jc w:val="left"/>
      </w:pPr>
      <w:r>
        <w:rPr>
          <w:b/>
          <w:bCs/>
        </w:rPr>
        <w:t xml:space="preserve">Греция</w:t>
      </w:r>
      <w:r>
        <w:t xml:space="preserve"> — единственная установка LPC (Аспропиргос, 38 тыс. т/год, Group I); Group II импортируется. [9]</w:t>
      </w:r>
    </w:p>
    <w:p>
      <w:pPr>
        <w:pStyle w:val="ListParagraph"/>
        <w:numPr>
          <w:ilvl w:val="0"/>
          <w:numId w:val="2"/>
        </w:numPr>
        <w:spacing w:after="60" w:line="264"/>
        <w:jc w:val="left"/>
      </w:pPr>
      <w:r>
        <w:rPr>
          <w:b/>
          <w:bCs/>
        </w:rPr>
        <w:t xml:space="preserve">Турция</w:t>
      </w:r>
      <w:r>
        <w:t xml:space="preserve"> — крупный нетто-импортёр базовых масел, потребление смазок &gt; 500 тыс. т/год. [8]</w:t>
      </w:r>
    </w:p>
    <w:p>
      <w:pPr>
        <w:pStyle w:val="ListParagraph"/>
        <w:numPr>
          <w:ilvl w:val="0"/>
          <w:numId w:val="2"/>
        </w:numPr>
        <w:spacing w:after="60" w:line="264"/>
        <w:jc w:val="left"/>
      </w:pPr>
      <w:r>
        <w:rPr>
          <w:b/>
          <w:bCs/>
        </w:rPr>
        <w:t xml:space="preserve">Румыния, Сербия, Северная Македония, Албания, Косово</w:t>
      </w:r>
      <w:r>
        <w:t xml:space="preserve"> — современных мощностей Group II нет, рынок на импорте.</w:t>
      </w:r>
    </w:p>
    <w:p>
      <w:pPr>
        <w:pStyle w:val="ListParagraph"/>
        <w:numPr>
          <w:ilvl w:val="0"/>
          <w:numId w:val="2"/>
        </w:numPr>
        <w:spacing w:after="60" w:line="264"/>
        <w:jc w:val="left"/>
      </w:pPr>
      <w:r>
        <w:rPr>
          <w:b/>
          <w:bCs/>
        </w:rPr>
        <w:t xml:space="preserve">Украина (в перспективе) и Молдова</w:t>
      </w:r>
      <w:r>
        <w:t xml:space="preserve"> — через черноморскую логистику Бургаса.</w:t>
      </w:r>
    </w:p>
    <w:p>
      <w:pPr>
        <w:pStyle w:val="Heading2"/>
        <w:spacing w:after="100" w:before="200"/>
      </w:pPr>
      <w:r>
        <w:t xml:space="preserve">4. Законодательная среда: благоприятная и понятная</w:t>
      </w:r>
    </w:p>
    <w:p>
      <w:pPr>
        <w:spacing w:after="120" w:line="276"/>
        <w:jc w:val="both"/>
      </w:pPr>
      <w:r>
        <w:rPr>
          <w:b/>
          <w:bCs/>
        </w:rPr>
        <w:t xml:space="preserve">Болгария.</w:t>
      </w:r>
      <w:r>
        <w:t xml:space="preserve"> ЗУО — сбор/хранение/оползотворяване по разрешению (чл. 67) или комплексному разрешительному; решение органа — до 2 месяцев от полного досье. Наредба за отработените масла — EPR: вводящие масла в оборот обязаны обеспечивать целевые уровни оползотворявания с приоритетом регенерации либо платить продуктову таксу (встроенный механизм спроса на услуги завода). ЗООС гл. 6 (ОВОС) и гл. 7 (КР/IPPC): установка &gt; 10 т/сутки требует КР с заключением по НДТ; с 2019 г. возможна совмещённая процедура ОВОС + КР (экономия 4–6 мес.). Прецедент — «Полихим-СС», КР № 440-N2/2024. [3][10][11]</w:t>
      </w:r>
    </w:p>
    <w:p>
      <w:pPr>
        <w:spacing w:after="120" w:line="276"/>
        <w:jc w:val="both"/>
      </w:pPr>
      <w:r>
        <w:rPr>
          <w:b/>
          <w:bCs/>
        </w:rPr>
        <w:t xml:space="preserve">ЕС.</w:t>
      </w:r>
      <w:r>
        <w:t xml:space="preserve"> Иерархия отходов (2008/98/EC): регенерация приоритетнее сжигания. Регламент (ЕС) 2024/1157 (с 21.05.2026): импорт опасных отходов (коды 13 02 05* и др.) из соседних не-ЕС стран (Турция — ОЭСР, Сербия, Северная Македония) — по процедуре PIC с финансовой гарантией. Это правовая основа импортного резерва сырья. REACH: регенерированное базовое масло регистрируется (или исключение для рекуперированных веществ). [12]</w:t>
      </w:r>
    </w:p>
    <w:p>
      <w:pPr>
        <w:pStyle w:val="Heading2"/>
        <w:spacing w:after="100" w:before="200"/>
      </w:pPr>
      <w:r>
        <w:t xml:space="preserve">5. Почему Бургас</w:t>
      </w:r>
    </w:p>
    <w:p>
      <w:pPr>
        <w:pStyle w:val="ListParagraph"/>
        <w:numPr>
          <w:ilvl w:val="0"/>
          <w:numId w:val="2"/>
        </w:numPr>
        <w:spacing w:after="60" w:line="264"/>
        <w:jc w:val="left"/>
      </w:pPr>
      <w:r>
        <w:rPr>
          <w:b/>
          <w:bCs/>
        </w:rPr>
        <w:t xml:space="preserve">Порт и нефтехимический кластер:</w:t>
      </w:r>
      <w:r>
        <w:t xml:space="preserve"> крупнейший НПЗ Балкан (Лукойл Нефтохим Бургас), танк-терминалы, причалы, ж/д и трубопроводные мощности, квалифицированный персонал.</w:t>
      </w:r>
    </w:p>
    <w:p>
      <w:pPr>
        <w:pStyle w:val="ListParagraph"/>
        <w:numPr>
          <w:ilvl w:val="0"/>
          <w:numId w:val="2"/>
        </w:numPr>
        <w:spacing w:after="60" w:line="264"/>
        <w:jc w:val="left"/>
      </w:pPr>
      <w:r>
        <w:rPr>
          <w:b/>
          <w:bCs/>
        </w:rPr>
        <w:t xml:space="preserve">Логистика:</w:t>
      </w:r>
      <w:r>
        <w:t xml:space="preserve"> морем — Турция, Греция, Украина, Грузия, Румыния; автотранспортом — вся Болгария, Сербия, Македония. Порт критичен для импортного резерва сырья.</w:t>
      </w:r>
    </w:p>
    <w:p>
      <w:pPr>
        <w:pStyle w:val="ListParagraph"/>
        <w:numPr>
          <w:ilvl w:val="0"/>
          <w:numId w:val="2"/>
        </w:numPr>
        <w:spacing w:after="60" w:line="264"/>
        <w:jc w:val="left"/>
      </w:pPr>
      <w:r>
        <w:rPr>
          <w:b/>
          <w:bCs/>
        </w:rPr>
        <w:t xml:space="preserve">Промзоны</w:t>
      </w:r>
      <w:r>
        <w:t xml:space="preserve"> с инженерной инфраструктурой и опытом размещения опасных производств.</w:t>
      </w:r>
    </w:p>
    <w:p>
      <w:pPr>
        <w:pStyle w:val="ListParagraph"/>
        <w:numPr>
          <w:ilvl w:val="0"/>
          <w:numId w:val="2"/>
        </w:numPr>
        <w:spacing w:after="60" w:line="264"/>
        <w:jc w:val="left"/>
      </w:pPr>
      <w:r>
        <w:rPr>
          <w:b/>
          <w:bCs/>
        </w:rPr>
        <w:t xml:space="preserve">Сбыт побочных продуктов:</w:t>
      </w:r>
      <w:r>
        <w:t xml:space="preserve"> газойлевая фракция и битумный остаток востребованы местной нефтехимией и дорожным строительством.</w:t>
      </w:r>
    </w:p>
    <w:p>
      <w:pPr>
        <w:pStyle w:val="Heading2"/>
        <w:spacing w:after="100" w:before="200"/>
      </w:pPr>
      <w:r>
        <w:t xml:space="preserve">6. Технология и оборудование (китайский партнёр + JingJin)</w:t>
      </w:r>
    </w:p>
    <w:p>
      <w:pPr>
        <w:pStyle w:val="ListParagraph"/>
        <w:numPr>
          <w:ilvl w:val="0"/>
          <w:numId w:val="2"/>
        </w:numPr>
        <w:spacing w:after="60" w:line="264"/>
        <w:jc w:val="left"/>
      </w:pPr>
      <w:r>
        <w:rPr>
          <w:b/>
          <w:bCs/>
        </w:rPr>
        <w:t xml:space="preserve">Приём и предочистка:</w:t>
      </w:r>
      <w:r>
        <w:t xml:space="preserve"> отстой, отсечка воды и мехпримесей, фильтрация — программно-управляемые фильтр-прессы JingJin (мембранный дожим до 60 бар).</w:t>
      </w:r>
    </w:p>
    <w:p>
      <w:pPr>
        <w:pStyle w:val="ListParagraph"/>
        <w:numPr>
          <w:ilvl w:val="0"/>
          <w:numId w:val="2"/>
        </w:numPr>
        <w:spacing w:after="60" w:line="264"/>
        <w:jc w:val="left"/>
      </w:pPr>
      <w:r>
        <w:rPr>
          <w:b/>
          <w:bCs/>
        </w:rPr>
        <w:t xml:space="preserve">Дегидратация и отгонка лёгких фракций</w:t>
      </w:r>
      <w:r>
        <w:t xml:space="preserve"> — флэш/вакуум.</w:t>
      </w:r>
    </w:p>
    <w:p>
      <w:pPr>
        <w:pStyle w:val="ListParagraph"/>
        <w:numPr>
          <w:ilvl w:val="0"/>
          <w:numId w:val="2"/>
        </w:numPr>
        <w:spacing w:after="60" w:line="264"/>
        <w:jc w:val="left"/>
      </w:pPr>
      <w:r>
        <w:rPr>
          <w:b/>
          <w:bCs/>
        </w:rPr>
        <w:t xml:space="preserve">Вакуумная дистилляция / короткоцикловое (wiped-film) испарение</w:t>
      </w:r>
      <w:r>
        <w:t xml:space="preserve"> — выделение масляных фракций без термического крекинга; испарители, реакторы, сосуды под давлением — JingJin; сточные воды — MVR-испарение (&lt; 70 кВт·ч/т воды).</w:t>
      </w:r>
    </w:p>
    <w:p>
      <w:pPr>
        <w:pStyle w:val="ListParagraph"/>
        <w:numPr>
          <w:ilvl w:val="0"/>
          <w:numId w:val="2"/>
        </w:numPr>
        <w:spacing w:after="60" w:line="264"/>
        <w:jc w:val="left"/>
      </w:pPr>
      <w:r>
        <w:rPr>
          <w:b/>
          <w:bCs/>
        </w:rPr>
        <w:t xml:space="preserve">Доочистка дистиллята</w:t>
      </w:r>
      <w:r>
        <w:t xml:space="preserve"> (адсорбционная/экстракционная) до спецификации Group II: снижение серы, цвета, ароматики, кислотности. Для 10–30 тыс. т/год в отрасли применяют связку «многоступенчатая вакуумная дистилляция + полировка реактивационным адсорбентом». [16]</w:t>
      </w:r>
    </w:p>
    <w:p>
      <w:pPr>
        <w:pBdr>
          <w:left w:val="single" w:color="C00000" w:sz="18" w:space="12"/>
        </w:pBdr>
        <w:shd w:fill="FBE9E7" w:val="clear"/>
        <w:spacing w:after="120" w:before="120" w:line="276"/>
        <w:jc w:val="both"/>
      </w:pPr>
      <w:r>
        <w:rPr>
          <w:b/>
          <w:bCs/>
        </w:rPr>
        <w:t xml:space="preserve">Честно о качестве Group II.</w:t>
      </w:r>
      <w:r>
        <w:t xml:space="preserve"> В мировой практике стабильный полноценный API Group II (сера &lt; 0,03 %, насыщенные &gt; 90 %) обычно достигается финишным </w:t>
      </w:r>
      <w:r>
        <w:rPr>
          <w:b/>
          <w:bCs/>
        </w:rPr>
        <w:t xml:space="preserve">гидрооблагораживанием</w:t>
      </w:r>
      <w:r>
        <w:t xml:space="preserve"> (пример — TAYRAŞ: технология Sequoia + водород). Схема «вакуумная дистилляция + адсорбционная полировка» без гидроочистки чаще даёт продукт уровня Group I / «близкий к Group II». Поэтому обязательное требование к китайскому партнёру — документально гарантировать спецификацию Group II на реальном (референтном) сырье, с подтверждением на пилоте/FAT; при необходимости в схему включается узел гидроочистки (это увеличивает CAPEX). Без такого подтверждения корректно позиционировать продукт как Group I/I+. </w:t>
      </w:r>
      <w:r>
        <w:rPr>
          <w:b/>
          <w:bCs/>
        </w:rPr>
        <w:t xml:space="preserve">Group II — единая международная классификация API 1509 (одинакова для КНР, ЕС и США), отдельного «европейского Group II» нет;</w:t>
      </w:r>
      <w:r>
        <w:t xml:space="preserve"> ключ — доказать соответствие: измерение признанными методами (ASTM/ISO/EN), независимый анализ образцов в аккредитованной лаборатории ЕС (SGS/Intertek/Bureau Veritas), пилот на нашем сырье, полный паспорт и основа REACH (без регистрации REACH продукт нельзя продавать в ЕС). Гарантийный тест на Group II — как условие приёмки установки.</w:t>
      </w:r>
    </w:p>
    <w:p>
      <w:pPr>
        <w:pStyle w:val="ListParagraph"/>
        <w:numPr>
          <w:ilvl w:val="0"/>
          <w:numId w:val="2"/>
        </w:numPr>
        <w:spacing w:after="60" w:line="264"/>
        <w:jc w:val="left"/>
      </w:pPr>
      <w:r>
        <w:rPr>
          <w:b/>
          <w:bCs/>
        </w:rPr>
        <w:t xml:space="preserve">Финишная фильтрация и налив</w:t>
      </w:r>
      <w:r>
        <w:t xml:space="preserve"> — фильтр-прессы и листовые фильтры JingJin.</w:t>
      </w:r>
    </w:p>
    <w:p>
      <w:pPr>
        <w:pStyle w:val="ListParagraph"/>
        <w:numPr>
          <w:ilvl w:val="0"/>
          <w:numId w:val="2"/>
        </w:numPr>
        <w:spacing w:after="60" w:line="264"/>
        <w:jc w:val="left"/>
      </w:pPr>
      <w:r>
        <w:rPr>
          <w:b/>
          <w:bCs/>
        </w:rPr>
        <w:t xml:space="preserve">Вторичные потоки:</w:t>
      </w:r>
      <w:r>
        <w:t xml:space="preserve"> осадки/гудрон — низкотемпературная сушилка JingJin (без пыли и выбросов); замкнутый водооборот.</w:t>
      </w:r>
    </w:p>
    <w:p>
      <w:pPr>
        <w:pStyle w:val="ListParagraph"/>
        <w:numPr>
          <w:ilvl w:val="0"/>
          <w:numId w:val="2"/>
        </w:numPr>
        <w:spacing w:after="60" w:line="264"/>
        <w:jc w:val="left"/>
      </w:pPr>
      <w:r>
        <w:rPr>
          <w:b/>
          <w:bCs/>
        </w:rPr>
        <w:t xml:space="preserve">Электроснабжение и автоматика:</w:t>
      </w:r>
      <w:r>
        <w:t xml:space="preserve"> шкафы JingJin (компоненты Schneider/Siemens/ABB, до 6300 А), E-House — блочная подстанция «под ключ» (ускоряет монтаж и облегчает CE/сертификацию).</w:t>
      </w:r>
    </w:p>
    <w:p>
      <w:pPr>
        <w:pStyle w:val="Heading2"/>
        <w:spacing w:after="100" w:before="200"/>
      </w:pPr>
      <w:r>
        <w:t xml:space="preserve">7. Индикативная экономика (оценка, подлежит ТЭО)</w:t>
      </w:r>
    </w:p>
    <w:tbl>
      <w:tblPr>
        <w:tblW w:type="dxa" w:w="9020"/>
        <w:tblBorders>
          <w:top w:val="single" w:color="AAB4CC" w:sz="4"/>
          <w:left w:val="single" w:color="AAB4CC" w:sz="4"/>
          <w:bottom w:val="single" w:color="AAB4CC" w:sz="4"/>
          <w:right w:val="single" w:color="AAB4CC" w:sz="4"/>
          <w:insideH w:val="single" w:color="CCD3E0" w:sz="2"/>
          <w:insideV w:val="single" w:color="CCD3E0" w:sz="2"/>
        </w:tblBorders>
      </w:tblPr>
      <w:tblGrid>
        <w:gridCol w:w="3400"/>
        <w:gridCol w:w="2810"/>
        <w:gridCol w:w="2810"/>
      </w:tblGrid>
      <w:tr>
        <w:trPr>
          <w:tblHeader/>
        </w:trPr>
        <w:tc>
          <w:tcPr>
            <w:tcW w:type="dxa" w:w="3400"/>
            <w:shd w:fill="1F3864" w:val="clear"/>
            <w:tcMar>
              <w:top w:type="dxa" w:w="40"/>
              <w:left w:type="dxa" w:w="80"/>
              <w:bottom w:type="dxa" w:w="40"/>
              <w:right w:type="dxa" w:w="80"/>
            </w:tcMar>
          </w:tcPr>
          <w:p>
            <w:pPr>
              <w:spacing w:after="20" w:before="20" w:line="252"/>
              <w:jc w:val="left"/>
            </w:pPr>
            <w:r>
              <w:rPr>
                <w:b/>
                <w:bCs/>
                <w:color w:val="FFFFFF"/>
              </w:rPr>
              <w:t xml:space="preserve">Показатель</w:t>
            </w:r>
          </w:p>
        </w:tc>
        <w:tc>
          <w:tcPr>
            <w:tcW w:type="dxa" w:w="2810"/>
            <w:shd w:fill="1F3864" w:val="clear"/>
            <w:tcMar>
              <w:top w:type="dxa" w:w="40"/>
              <w:left w:type="dxa" w:w="80"/>
              <w:bottom w:type="dxa" w:w="40"/>
              <w:right w:type="dxa" w:w="80"/>
            </w:tcMar>
          </w:tcPr>
          <w:p>
            <w:pPr>
              <w:spacing w:after="20" w:before="20" w:line="252"/>
              <w:jc w:val="left"/>
            </w:pPr>
            <w:r>
              <w:rPr>
                <w:b/>
                <w:bCs/>
                <w:color w:val="FFFFFF"/>
              </w:rPr>
              <w:t xml:space="preserve">Этап 1 (10 тыс. т/год)</w:t>
            </w:r>
          </w:p>
        </w:tc>
        <w:tc>
          <w:tcPr>
            <w:tcW w:type="dxa" w:w="2810"/>
            <w:shd w:fill="1F3864" w:val="clear"/>
            <w:tcMar>
              <w:top w:type="dxa" w:w="40"/>
              <w:left w:type="dxa" w:w="80"/>
              <w:bottom w:type="dxa" w:w="40"/>
              <w:right w:type="dxa" w:w="80"/>
            </w:tcMar>
          </w:tcPr>
          <w:p>
            <w:pPr>
              <w:spacing w:after="20" w:before="20" w:line="252"/>
              <w:jc w:val="left"/>
            </w:pPr>
            <w:r>
              <w:rPr>
                <w:b/>
                <w:bCs/>
                <w:color w:val="FFFFFF"/>
              </w:rPr>
              <w:t xml:space="preserve">Этап 3 (30 тыс. т/год)</w:t>
            </w:r>
          </w:p>
        </w:tc>
      </w:tr>
      <w:tr>
        <w:tc>
          <w:tcPr>
            <w:tcW w:type="dxa" w:w="3400"/>
            <w:shd w:fill="FFFFFF" w:val="clear"/>
            <w:tcMar>
              <w:top w:type="dxa" w:w="40"/>
              <w:left w:type="dxa" w:w="80"/>
              <w:bottom w:type="dxa" w:w="40"/>
              <w:right w:type="dxa" w:w="80"/>
            </w:tcMar>
          </w:tcPr>
          <w:p>
            <w:pPr>
              <w:spacing w:after="20" w:before="20" w:line="252"/>
              <w:jc w:val="left"/>
            </w:pPr>
            <w:r>
              <w:t xml:space="preserve">Выход Group II (~72 %)</w:t>
            </w:r>
          </w:p>
        </w:tc>
        <w:tc>
          <w:tcPr>
            <w:tcW w:type="dxa" w:w="2810"/>
            <w:shd w:fill="FFFFFF" w:val="clear"/>
            <w:tcMar>
              <w:top w:type="dxa" w:w="40"/>
              <w:left w:type="dxa" w:w="80"/>
              <w:bottom w:type="dxa" w:w="40"/>
              <w:right w:type="dxa" w:w="80"/>
            </w:tcMar>
          </w:tcPr>
          <w:p>
            <w:pPr>
              <w:spacing w:after="20" w:before="20" w:line="252"/>
              <w:jc w:val="left"/>
            </w:pPr>
            <w:r>
              <w:t xml:space="preserve">~7 200 т/год</w:t>
            </w:r>
          </w:p>
        </w:tc>
        <w:tc>
          <w:tcPr>
            <w:tcW w:type="dxa" w:w="2810"/>
            <w:shd w:fill="FFFFFF" w:val="clear"/>
            <w:tcMar>
              <w:top w:type="dxa" w:w="40"/>
              <w:left w:type="dxa" w:w="80"/>
              <w:bottom w:type="dxa" w:w="40"/>
              <w:right w:type="dxa" w:w="80"/>
            </w:tcMar>
          </w:tcPr>
          <w:p>
            <w:pPr>
              <w:spacing w:after="20" w:before="20" w:line="252"/>
              <w:jc w:val="left"/>
            </w:pPr>
            <w:r>
              <w:t xml:space="preserve">~21 600 т/год</w:t>
            </w:r>
          </w:p>
        </w:tc>
      </w:tr>
      <w:tr>
        <w:tc>
          <w:tcPr>
            <w:tcW w:type="dxa" w:w="3400"/>
            <w:shd w:fill="EEF1F8" w:val="clear"/>
            <w:tcMar>
              <w:top w:type="dxa" w:w="40"/>
              <w:left w:type="dxa" w:w="80"/>
              <w:bottom w:type="dxa" w:w="40"/>
              <w:right w:type="dxa" w:w="80"/>
            </w:tcMar>
          </w:tcPr>
          <w:p>
            <w:pPr>
              <w:spacing w:after="20" w:before="20" w:line="252"/>
              <w:jc w:val="left"/>
            </w:pPr>
            <w:r>
              <w:t xml:space="preserve">CAPEX (оборуд. + СМР + инфра + разрешения)</w:t>
            </w:r>
          </w:p>
        </w:tc>
        <w:tc>
          <w:tcPr>
            <w:tcW w:type="dxa" w:w="2810"/>
            <w:shd w:fill="EEF1F8" w:val="clear"/>
            <w:tcMar>
              <w:top w:type="dxa" w:w="40"/>
              <w:left w:type="dxa" w:w="80"/>
              <w:bottom w:type="dxa" w:w="40"/>
              <w:right w:type="dxa" w:w="80"/>
            </w:tcMar>
          </w:tcPr>
          <w:p>
            <w:pPr>
              <w:spacing w:after="20" w:before="20" w:line="252"/>
              <w:jc w:val="left"/>
            </w:pPr>
            <w:r>
              <w:t xml:space="preserve">~6–10 млн €</w:t>
            </w:r>
          </w:p>
        </w:tc>
        <w:tc>
          <w:tcPr>
            <w:tcW w:type="dxa" w:w="2810"/>
            <w:shd w:fill="EEF1F8" w:val="clear"/>
            <w:tcMar>
              <w:top w:type="dxa" w:w="40"/>
              <w:left w:type="dxa" w:w="80"/>
              <w:bottom w:type="dxa" w:w="40"/>
              <w:right w:type="dxa" w:w="80"/>
            </w:tcMar>
          </w:tcPr>
          <w:p>
            <w:pPr>
              <w:spacing w:after="20" w:before="20" w:line="252"/>
              <w:jc w:val="left"/>
            </w:pPr>
            <w:r>
              <w:t xml:space="preserve">~12–20 млн € (нарастающим итогом)</w:t>
            </w:r>
          </w:p>
        </w:tc>
      </w:tr>
      <w:tr>
        <w:tc>
          <w:tcPr>
            <w:tcW w:type="dxa" w:w="3400"/>
            <w:shd w:fill="FFFFFF" w:val="clear"/>
            <w:tcMar>
              <w:top w:type="dxa" w:w="40"/>
              <w:left w:type="dxa" w:w="80"/>
              <w:bottom w:type="dxa" w:w="40"/>
              <w:right w:type="dxa" w:w="80"/>
            </w:tcMar>
          </w:tcPr>
          <w:p>
            <w:pPr>
              <w:spacing w:after="20" w:before="20" w:line="252"/>
              <w:jc w:val="left"/>
            </w:pPr>
            <w:r>
              <w:t xml:space="preserve">Закупка сырья</w:t>
            </w:r>
          </w:p>
        </w:tc>
        <w:tc>
          <w:tcPr>
            <w:tcW w:type="dxa" w:w="2810"/>
            <w:shd w:fill="FFFFFF" w:val="clear"/>
            <w:tcMar>
              <w:top w:type="dxa" w:w="40"/>
              <w:left w:type="dxa" w:w="80"/>
              <w:bottom w:type="dxa" w:w="40"/>
              <w:right w:type="dxa" w:w="80"/>
            </w:tcMar>
          </w:tcPr>
          <w:p>
            <w:pPr>
              <w:spacing w:after="20" w:before="20" w:line="252"/>
              <w:jc w:val="left"/>
            </w:pPr>
            <w:r>
              <w:t xml:space="preserve">250–300 €/т</w:t>
            </w:r>
          </w:p>
        </w:tc>
        <w:tc>
          <w:tcPr>
            <w:tcW w:type="dxa" w:w="2810"/>
            <w:shd w:fill="FFFFFF" w:val="clear"/>
            <w:tcMar>
              <w:top w:type="dxa" w:w="40"/>
              <w:left w:type="dxa" w:w="80"/>
              <w:bottom w:type="dxa" w:w="40"/>
              <w:right w:type="dxa" w:w="80"/>
            </w:tcMar>
          </w:tcPr>
          <w:p>
            <w:pPr>
              <w:spacing w:after="20" w:before="20" w:line="252"/>
              <w:jc w:val="left"/>
            </w:pPr>
            <w:r>
              <w:t xml:space="preserve">250–300 €/т</w:t>
            </w:r>
          </w:p>
        </w:tc>
      </w:tr>
      <w:tr>
        <w:tc>
          <w:tcPr>
            <w:tcW w:type="dxa" w:w="3400"/>
            <w:shd w:fill="EEF1F8" w:val="clear"/>
            <w:tcMar>
              <w:top w:type="dxa" w:w="40"/>
              <w:left w:type="dxa" w:w="80"/>
              <w:bottom w:type="dxa" w:w="40"/>
              <w:right w:type="dxa" w:w="80"/>
            </w:tcMar>
          </w:tcPr>
          <w:p>
            <w:pPr>
              <w:spacing w:after="20" w:before="20" w:line="252"/>
              <w:jc w:val="left"/>
            </w:pPr>
            <w:r>
              <w:t xml:space="preserve">Реализация Group II регенерата</w:t>
            </w:r>
          </w:p>
        </w:tc>
        <w:tc>
          <w:tcPr>
            <w:tcW w:type="dxa" w:w="2810"/>
            <w:shd w:fill="EEF1F8" w:val="clear"/>
            <w:tcMar>
              <w:top w:type="dxa" w:w="40"/>
              <w:left w:type="dxa" w:w="80"/>
              <w:bottom w:type="dxa" w:w="40"/>
              <w:right w:type="dxa" w:w="80"/>
            </w:tcMar>
          </w:tcPr>
          <w:p>
            <w:pPr>
              <w:spacing w:after="20" w:before="20" w:line="252"/>
              <w:jc w:val="left"/>
            </w:pPr>
            <w:r>
              <w:t xml:space="preserve">850–950 €/т</w:t>
            </w:r>
          </w:p>
        </w:tc>
        <w:tc>
          <w:tcPr>
            <w:tcW w:type="dxa" w:w="2810"/>
            <w:shd w:fill="EEF1F8" w:val="clear"/>
            <w:tcMar>
              <w:top w:type="dxa" w:w="40"/>
              <w:left w:type="dxa" w:w="80"/>
              <w:bottom w:type="dxa" w:w="40"/>
              <w:right w:type="dxa" w:w="80"/>
            </w:tcMar>
          </w:tcPr>
          <w:p>
            <w:pPr>
              <w:spacing w:after="20" w:before="20" w:line="252"/>
              <w:jc w:val="left"/>
            </w:pPr>
            <w:r>
              <w:t xml:space="preserve">850–950 €/т</w:t>
            </w:r>
          </w:p>
        </w:tc>
      </w:tr>
      <w:tr>
        <w:tc>
          <w:tcPr>
            <w:tcW w:type="dxa" w:w="3400"/>
            <w:shd w:fill="FFFFFF" w:val="clear"/>
            <w:tcMar>
              <w:top w:type="dxa" w:w="40"/>
              <w:left w:type="dxa" w:w="80"/>
              <w:bottom w:type="dxa" w:w="40"/>
              <w:right w:type="dxa" w:w="80"/>
            </w:tcMar>
          </w:tcPr>
          <w:p>
            <w:pPr>
              <w:spacing w:after="20" w:before="20" w:line="252"/>
              <w:jc w:val="left"/>
            </w:pPr>
            <w:r>
              <w:t xml:space="preserve">Валовая маржа по базовому маслу</w:t>
            </w:r>
          </w:p>
        </w:tc>
        <w:tc>
          <w:tcPr>
            <w:tcW w:type="dxa" w:w="2810"/>
            <w:shd w:fill="FFFFFF" w:val="clear"/>
            <w:tcMar>
              <w:top w:type="dxa" w:w="40"/>
              <w:left w:type="dxa" w:w="80"/>
              <w:bottom w:type="dxa" w:w="40"/>
              <w:right w:type="dxa" w:w="80"/>
            </w:tcMar>
          </w:tcPr>
          <w:p>
            <w:pPr>
              <w:spacing w:after="20" w:before="20" w:line="252"/>
              <w:jc w:val="left"/>
            </w:pPr>
            <w:r>
              <w:t xml:space="preserve">~500–600 €/т продукта</w:t>
            </w:r>
          </w:p>
        </w:tc>
        <w:tc>
          <w:tcPr>
            <w:tcW w:type="dxa" w:w="2810"/>
            <w:shd w:fill="FFFFFF" w:val="clear"/>
            <w:tcMar>
              <w:top w:type="dxa" w:w="40"/>
              <w:left w:type="dxa" w:w="80"/>
              <w:bottom w:type="dxa" w:w="40"/>
              <w:right w:type="dxa" w:w="80"/>
            </w:tcMar>
          </w:tcPr>
          <w:p>
            <w:pPr>
              <w:spacing w:after="20" w:before="20" w:line="252"/>
              <w:jc w:val="left"/>
            </w:pPr>
            <w:r>
              <w:t xml:space="preserve">~500–600 €/т продукта</w:t>
            </w:r>
          </w:p>
        </w:tc>
      </w:tr>
      <w:tr>
        <w:tc>
          <w:tcPr>
            <w:tcW w:type="dxa" w:w="3400"/>
            <w:shd w:fill="EEF1F8" w:val="clear"/>
            <w:tcMar>
              <w:top w:type="dxa" w:w="40"/>
              <w:left w:type="dxa" w:w="80"/>
              <w:bottom w:type="dxa" w:w="40"/>
              <w:right w:type="dxa" w:w="80"/>
            </w:tcMar>
          </w:tcPr>
          <w:p>
            <w:pPr>
              <w:spacing w:after="20" w:before="20" w:line="252"/>
              <w:jc w:val="left"/>
            </w:pPr>
            <w:r>
              <w:t xml:space="preserve">Доп. выручка (газойль, битумный остаток)</w:t>
            </w:r>
          </w:p>
        </w:tc>
        <w:tc>
          <w:tcPr>
            <w:tcW w:type="dxa" w:w="2810"/>
            <w:shd w:fill="EEF1F8" w:val="clear"/>
            <w:tcMar>
              <w:top w:type="dxa" w:w="40"/>
              <w:left w:type="dxa" w:w="80"/>
              <w:bottom w:type="dxa" w:w="40"/>
              <w:right w:type="dxa" w:w="80"/>
            </w:tcMar>
          </w:tcPr>
          <w:p>
            <w:pPr>
              <w:spacing w:after="20" w:before="20" w:line="252"/>
              <w:jc w:val="left"/>
            </w:pPr>
            <w:r>
              <w:t xml:space="preserve">+15–20 % к выручке</w:t>
            </w:r>
          </w:p>
        </w:tc>
        <w:tc>
          <w:tcPr>
            <w:tcW w:type="dxa" w:w="2810"/>
            <w:shd w:fill="EEF1F8" w:val="clear"/>
            <w:tcMar>
              <w:top w:type="dxa" w:w="40"/>
              <w:left w:type="dxa" w:w="80"/>
              <w:bottom w:type="dxa" w:w="40"/>
              <w:right w:type="dxa" w:w="80"/>
            </w:tcMar>
          </w:tcPr>
          <w:p>
            <w:pPr>
              <w:spacing w:after="20" w:before="20" w:line="252"/>
              <w:jc w:val="left"/>
            </w:pPr>
            <w:r>
              <w:t xml:space="preserve">+15–20 % к выручке</w:t>
            </w:r>
          </w:p>
        </w:tc>
      </w:tr>
      <w:tr>
        <w:tc>
          <w:tcPr>
            <w:tcW w:type="dxa" w:w="3400"/>
            <w:shd w:fill="FFFFFF" w:val="clear"/>
            <w:tcMar>
              <w:top w:type="dxa" w:w="40"/>
              <w:left w:type="dxa" w:w="80"/>
              <w:bottom w:type="dxa" w:w="40"/>
              <w:right w:type="dxa" w:w="80"/>
            </w:tcMar>
          </w:tcPr>
          <w:p>
            <w:pPr>
              <w:spacing w:after="20" w:before="20" w:line="252"/>
              <w:jc w:val="left"/>
            </w:pPr>
            <w:r>
              <w:t xml:space="preserve">Срок окупаемости (оценка)</w:t>
            </w:r>
          </w:p>
        </w:tc>
        <w:tc>
          <w:tcPr>
            <w:tcW w:type="dxa" w:w="2810"/>
            <w:shd w:fill="FFFFFF" w:val="clear"/>
            <w:tcMar>
              <w:top w:type="dxa" w:w="40"/>
              <w:left w:type="dxa" w:w="80"/>
              <w:bottom w:type="dxa" w:w="40"/>
              <w:right w:type="dxa" w:w="80"/>
            </w:tcMar>
          </w:tcPr>
          <w:p>
            <w:pPr>
              <w:spacing w:after="20" w:before="20" w:line="252"/>
              <w:jc w:val="left"/>
            </w:pPr>
            <w:r>
              <w:t xml:space="preserve">3–5 лет</w:t>
            </w:r>
          </w:p>
        </w:tc>
        <w:tc>
          <w:tcPr>
            <w:tcW w:type="dxa" w:w="2810"/>
            <w:shd w:fill="FFFFFF" w:val="clear"/>
            <w:tcMar>
              <w:top w:type="dxa" w:w="40"/>
              <w:left w:type="dxa" w:w="80"/>
              <w:bottom w:type="dxa" w:w="40"/>
              <w:right w:type="dxa" w:w="80"/>
            </w:tcMar>
          </w:tcPr>
          <w:p>
            <w:pPr>
              <w:spacing w:after="20" w:before="20" w:line="252"/>
              <w:jc w:val="left"/>
            </w:pPr>
            <w:r>
              <w:t xml:space="preserve">3–4 года</w:t>
            </w:r>
          </w:p>
        </w:tc>
      </w:tr>
    </w:tbl>
    <w:p>
      <w:pPr>
        <w:spacing w:after="60"/>
      </w:pPr>
    </w:p>
    <w:p>
      <w:pPr>
        <w:pBdr>
          <w:left w:val="single" w:color="C00000" w:sz="18" w:space="12"/>
        </w:pBdr>
        <w:shd w:fill="FBE9E7" w:val="clear"/>
        <w:spacing w:after="120" w:before="120" w:line="276"/>
        <w:jc w:val="both"/>
      </w:pPr>
      <w:r>
        <w:t xml:space="preserve">CAPEX и сроки окупаемости — порядковые оценки для сравнения этапов, а не гарантия. Точные значения определяет ТЭО с учётом площадки, комплектации JingJin, требований ЕС (ATEX/CE), стоимости денег и цен на сырьё/продукт на момент реализации.</w:t>
      </w:r>
    </w:p>
    <w:p>
      <w:pPr>
        <w:pStyle w:val="Heading2"/>
        <w:spacing w:after="100" w:before="200"/>
      </w:pPr>
      <w:r>
        <w:t xml:space="preserve">8. Ключевые риски и меры</w:t>
      </w:r>
    </w:p>
    <w:tbl>
      <w:tblPr>
        <w:tblW w:type="dxa" w:w="9020"/>
        <w:tblBorders>
          <w:top w:val="single" w:color="AAB4CC" w:sz="4"/>
          <w:left w:val="single" w:color="AAB4CC" w:sz="4"/>
          <w:bottom w:val="single" w:color="AAB4CC" w:sz="4"/>
          <w:right w:val="single" w:color="AAB4CC" w:sz="4"/>
          <w:insideH w:val="single" w:color="CCD3E0" w:sz="2"/>
          <w:insideV w:val="single" w:color="CCD3E0" w:sz="2"/>
        </w:tblBorders>
      </w:tblPr>
      <w:tblGrid>
        <w:gridCol w:w="3200"/>
        <w:gridCol w:w="5820"/>
      </w:tblGrid>
      <w:tr>
        <w:trPr>
          <w:tblHeader/>
        </w:trPr>
        <w:tc>
          <w:tcPr>
            <w:tcW w:type="dxa" w:w="3200"/>
            <w:shd w:fill="1F3864" w:val="clear"/>
            <w:tcMar>
              <w:top w:type="dxa" w:w="40"/>
              <w:left w:type="dxa" w:w="80"/>
              <w:bottom w:type="dxa" w:w="40"/>
              <w:right w:type="dxa" w:w="80"/>
            </w:tcMar>
          </w:tcPr>
          <w:p>
            <w:pPr>
              <w:spacing w:after="20" w:before="20" w:line="252"/>
              <w:jc w:val="left"/>
            </w:pPr>
            <w:r>
              <w:rPr>
                <w:b/>
                <w:bCs/>
                <w:color w:val="FFFFFF"/>
              </w:rPr>
              <w:t xml:space="preserve">Риск</w:t>
            </w:r>
          </w:p>
        </w:tc>
        <w:tc>
          <w:tcPr>
            <w:tcW w:type="dxa" w:w="5820"/>
            <w:shd w:fill="1F3864" w:val="clear"/>
            <w:tcMar>
              <w:top w:type="dxa" w:w="40"/>
              <w:left w:type="dxa" w:w="80"/>
              <w:bottom w:type="dxa" w:w="40"/>
              <w:right w:type="dxa" w:w="80"/>
            </w:tcMar>
          </w:tcPr>
          <w:p>
            <w:pPr>
              <w:spacing w:after="20" w:before="20" w:line="252"/>
              <w:jc w:val="left"/>
            </w:pPr>
            <w:r>
              <w:rPr>
                <w:b/>
                <w:bCs/>
                <w:color w:val="FFFFFF"/>
              </w:rPr>
              <w:t xml:space="preserve">Мера</w:t>
            </w:r>
          </w:p>
        </w:tc>
      </w:tr>
      <w:tr>
        <w:tc>
          <w:tcPr>
            <w:tcW w:type="dxa" w:w="3200"/>
            <w:shd w:fill="FFFFFF" w:val="clear"/>
            <w:tcMar>
              <w:top w:type="dxa" w:w="40"/>
              <w:left w:type="dxa" w:w="80"/>
              <w:bottom w:type="dxa" w:w="40"/>
              <w:right w:type="dxa" w:w="80"/>
            </w:tcMar>
          </w:tcPr>
          <w:p>
            <w:pPr>
              <w:spacing w:after="20" w:before="20" w:line="252"/>
              <w:jc w:val="left"/>
            </w:pPr>
            <w:r>
              <w:t xml:space="preserve">Недобор легального сырья на рампе</w:t>
            </w:r>
          </w:p>
        </w:tc>
        <w:tc>
          <w:tcPr>
            <w:tcW w:type="dxa" w:w="5820"/>
            <w:shd w:fill="FFFFFF" w:val="clear"/>
            <w:tcMar>
              <w:top w:type="dxa" w:w="40"/>
              <w:left w:type="dxa" w:w="80"/>
              <w:bottom w:type="dxa" w:w="40"/>
              <w:right w:type="dxa" w:w="80"/>
            </w:tcMar>
          </w:tcPr>
          <w:p>
            <w:pPr>
              <w:spacing w:after="20" w:before="20" w:line="252"/>
              <w:jc w:val="left"/>
            </w:pPr>
            <w:r>
              <w:t xml:space="preserve">Собственная сеть сбора с мес. 8; тендеры госпредприятий; договоры с ОО/импортёрами по EPR; импорт по PIC как резерв 15–30 %</w:t>
            </w:r>
          </w:p>
        </w:tc>
      </w:tr>
      <w:tr>
        <w:tc>
          <w:tcPr>
            <w:tcW w:type="dxa" w:w="3200"/>
            <w:shd w:fill="EEF1F8" w:val="clear"/>
            <w:tcMar>
              <w:top w:type="dxa" w:w="40"/>
              <w:left w:type="dxa" w:w="80"/>
              <w:bottom w:type="dxa" w:w="40"/>
              <w:right w:type="dxa" w:w="80"/>
            </w:tcMar>
          </w:tcPr>
          <w:p>
            <w:pPr>
              <w:spacing w:after="20" w:before="20" w:line="252"/>
              <w:jc w:val="left"/>
            </w:pPr>
            <w:r>
              <w:t xml:space="preserve">Длительность разрешений (ОВОС + КР)</w:t>
            </w:r>
          </w:p>
        </w:tc>
        <w:tc>
          <w:tcPr>
            <w:tcW w:type="dxa" w:w="5820"/>
            <w:shd w:fill="EEF1F8" w:val="clear"/>
            <w:tcMar>
              <w:top w:type="dxa" w:w="40"/>
              <w:left w:type="dxa" w:w="80"/>
              <w:bottom w:type="dxa" w:w="40"/>
              <w:right w:type="dxa" w:w="80"/>
            </w:tcMar>
          </w:tcPr>
          <w:p>
            <w:pPr>
              <w:spacing w:after="20" w:before="20" w:line="252"/>
              <w:jc w:val="left"/>
            </w:pPr>
            <w:r>
              <w:t xml:space="preserve">Совмещённая процедура; опытный болгарский эколог-консультант; ранняя коммуникация с РИОСВ-Бургас</w:t>
            </w:r>
          </w:p>
        </w:tc>
      </w:tr>
      <w:tr>
        <w:tc>
          <w:tcPr>
            <w:tcW w:type="dxa" w:w="3200"/>
            <w:shd w:fill="FFFFFF" w:val="clear"/>
            <w:tcMar>
              <w:top w:type="dxa" w:w="40"/>
              <w:left w:type="dxa" w:w="80"/>
              <w:bottom w:type="dxa" w:w="40"/>
              <w:right w:type="dxa" w:w="80"/>
            </w:tcMar>
          </w:tcPr>
          <w:p>
            <w:pPr>
              <w:spacing w:after="20" w:before="20" w:line="252"/>
              <w:jc w:val="left"/>
            </w:pPr>
            <w:r>
              <w:t xml:space="preserve">Дисконт цены регенерата</w:t>
            </w:r>
          </w:p>
        </w:tc>
        <w:tc>
          <w:tcPr>
            <w:tcW w:type="dxa" w:w="5820"/>
            <w:shd w:fill="FFFFFF" w:val="clear"/>
            <w:tcMar>
              <w:top w:type="dxa" w:w="40"/>
              <w:left w:type="dxa" w:w="80"/>
              <w:bottom w:type="dxa" w:w="40"/>
              <w:right w:type="dxa" w:w="80"/>
            </w:tcMar>
          </w:tcPr>
          <w:p>
            <w:pPr>
              <w:spacing w:after="20" w:before="20" w:line="252"/>
              <w:jc w:val="left"/>
            </w:pPr>
            <w:r>
              <w:t xml:space="preserve">Сертификация качества, одобрения блендеров, маркетинг «low-carbon»</w:t>
            </w:r>
          </w:p>
        </w:tc>
      </w:tr>
      <w:tr>
        <w:tc>
          <w:tcPr>
            <w:tcW w:type="dxa" w:w="3200"/>
            <w:shd w:fill="EEF1F8" w:val="clear"/>
            <w:tcMar>
              <w:top w:type="dxa" w:w="40"/>
              <w:left w:type="dxa" w:w="80"/>
              <w:bottom w:type="dxa" w:w="40"/>
              <w:right w:type="dxa" w:w="80"/>
            </w:tcMar>
          </w:tcPr>
          <w:p>
            <w:pPr>
              <w:spacing w:after="20" w:before="20" w:line="252"/>
              <w:jc w:val="left"/>
            </w:pPr>
            <w:r>
              <w:t xml:space="preserve">Приёмка китайского оборудования в ЕС</w:t>
            </w:r>
          </w:p>
        </w:tc>
        <w:tc>
          <w:tcPr>
            <w:tcW w:type="dxa" w:w="5820"/>
            <w:shd w:fill="EEF1F8" w:val="clear"/>
            <w:tcMar>
              <w:top w:type="dxa" w:w="40"/>
              <w:left w:type="dxa" w:w="80"/>
              <w:bottom w:type="dxa" w:w="40"/>
              <w:right w:type="dxa" w:w="80"/>
            </w:tcMar>
          </w:tcPr>
          <w:p>
            <w:pPr>
              <w:spacing w:after="20" w:before="20" w:line="252"/>
              <w:jc w:val="left"/>
            </w:pPr>
            <w:r>
              <w:t xml:space="preserve">CE-маркировка узлов, ATEX-исполнение; электрика JingJin на Schneider/Siemens/ABB облегчает сертификацию; аудит до отгрузки</w:t>
            </w:r>
          </w:p>
        </w:tc>
      </w:tr>
    </w:tbl>
    <w:p>
      <w:pPr>
        <w:spacing w:after="60"/>
      </w:pPr>
    </w:p>
    <w:p>
      <w:pPr>
        <w:pStyle w:val="Heading2"/>
        <w:spacing w:after="100" w:before="200"/>
      </w:pPr>
      <w:r>
        <w:t xml:space="preserve">9. Выводы</w:t>
      </w:r>
    </w:p>
    <w:p>
      <w:pPr>
        <w:pStyle w:val="ListParagraph"/>
        <w:numPr>
          <w:ilvl w:val="0"/>
          <w:numId w:val="2"/>
        </w:numPr>
        <w:spacing w:after="60" w:line="264"/>
        <w:jc w:val="left"/>
      </w:pPr>
      <w:r>
        <w:rPr>
          <w:b/>
          <w:bCs/>
        </w:rPr>
        <w:t xml:space="preserve">Болгария — «белое пятно» регенерации Group II на карте ЕС:</w:t>
      </w:r>
      <w:r>
        <w:t xml:space="preserve"> сырьё есть, легальный сбор слабый, современных Group II-мощностей нет, законодательство прямо стимулирует регенерацию.</w:t>
      </w:r>
    </w:p>
    <w:p>
      <w:pPr>
        <w:pStyle w:val="ListParagraph"/>
        <w:numPr>
          <w:ilvl w:val="0"/>
          <w:numId w:val="2"/>
        </w:numPr>
        <w:spacing w:after="60" w:line="264"/>
        <w:jc w:val="left"/>
      </w:pPr>
      <w:r>
        <w:rPr>
          <w:b/>
          <w:bCs/>
        </w:rPr>
        <w:t xml:space="preserve">Цели 10 → 20 → 30 тыс. т/год реалистичны по сырью;</w:t>
      </w:r>
      <w:r>
        <w:t xml:space="preserve"> завод на 30 тыс. т/год станет крупнейшим и единственным современным Group II на Балканах ЕС.</w:t>
      </w:r>
    </w:p>
    <w:p>
      <w:pPr>
        <w:pStyle w:val="ListParagraph"/>
        <w:numPr>
          <w:ilvl w:val="0"/>
          <w:numId w:val="2"/>
        </w:numPr>
        <w:spacing w:after="60" w:line="264"/>
        <w:jc w:val="left"/>
      </w:pPr>
      <w:r>
        <w:rPr>
          <w:b/>
          <w:bCs/>
        </w:rPr>
        <w:t xml:space="preserve">Рынок сбыта Group II в радиусе 800 км структурно дефицитен;</w:t>
      </w:r>
      <w:r>
        <w:t xml:space="preserve"> мировой тренд (ExxonMobil, Avista, Puralube) подтверждает нишу.</w:t>
      </w:r>
    </w:p>
    <w:p>
      <w:pPr>
        <w:pStyle w:val="ListParagraph"/>
        <w:numPr>
          <w:ilvl w:val="0"/>
          <w:numId w:val="2"/>
        </w:numPr>
        <w:spacing w:after="60" w:line="264"/>
        <w:jc w:val="left"/>
      </w:pPr>
      <w:r>
        <w:rPr>
          <w:b/>
          <w:bCs/>
        </w:rPr>
        <w:t xml:space="preserve">Связка «китайская технология + оборудование JingJin + болгарская площадка (Бургас)»</w:t>
      </w:r>
      <w:r>
        <w:t xml:space="preserve"> — оптимальный вход с модульным ростом; дальнейшее масштабирование до «большого сегмента» — по модели импортного хаба, как отдельная стратегия.</w:t>
      </w:r>
    </w:p>
    <w:p>
      <w:r>
        <w:br w:type="page"/>
      </w:r>
    </w:p>
    <w:p>
      <w:pPr>
        <w:pStyle w:val="Heading1"/>
        <w:spacing w:after="120" w:before="260"/>
      </w:pPr>
      <w:r>
        <w:t xml:space="preserve">ЧАСТЬ II — 中文版本（致中国合作伙伴）</w:t>
      </w:r>
    </w:p>
    <w:p>
      <w:pPr>
        <w:pStyle w:val="Heading2"/>
        <w:spacing w:after="100" w:before="200"/>
      </w:pPr>
      <w:r>
        <w:t xml:space="preserve">项目说明函</w:t>
      </w:r>
    </w:p>
    <w:p>
      <w:pPr>
        <w:spacing w:after="120" w:line="276"/>
        <w:jc w:val="both"/>
      </w:pPr>
      <w:r>
        <w:t xml:space="preserve">项目：在保加利亚布尔加斯建设废润滑油再生为基础油（API II类）工厂。产能分阶段：</w:t>
      </w:r>
      <w:r>
        <w:rPr>
          <w:b/>
          <w:bCs/>
        </w:rPr>
        <w:t xml:space="preserve">10 → 20 → 30 千吨/年（按原料）</w:t>
      </w:r>
      <w:r>
        <w:t xml:space="preserve">。状态：投资前研究阶段。</w:t>
      </w:r>
    </w:p>
    <w:p>
      <w:pPr>
        <w:pStyle w:val="Heading2"/>
        <w:spacing w:after="100" w:before="200"/>
      </w:pPr>
      <w:r>
        <w:t xml:space="preserve">1. 项目概述</w:t>
      </w:r>
    </w:p>
    <w:p>
      <w:pPr>
        <w:spacing w:after="120" w:line="276"/>
        <w:jc w:val="both"/>
      </w:pPr>
      <w:r>
        <w:t xml:space="preserve">拟在保加利亚布尔加斯市建设一座废矿物油（发动机油、齿轮油、液压油、工业油）再生工厂，产品为达到 </w:t>
      </w:r>
      <w:r>
        <w:rPr>
          <w:b/>
          <w:bCs/>
        </w:rPr>
        <w:t xml:space="preserve">API II类</w:t>
      </w:r>
      <w:r>
        <w:t xml:space="preserve"> 标准的再生基础油（硫含量 &lt; 0.03%，饱和烃 &gt; 90%，粘度指数 80–120）。工艺由中方合作伙伴提供（真空蒸馏+精制，符合中国环保标准），核心设备采用景津装备股份有限公司（山东德州，股票代码 603279）。</w:t>
      </w:r>
    </w:p>
    <w:p>
      <w:pPr>
        <w:spacing w:after="120" w:line="276"/>
        <w:jc w:val="both"/>
      </w:pPr>
      <w:r>
        <w:rPr>
          <w:b/>
          <w:bCs/>
        </w:rPr>
        <w:t xml:space="preserve">产能分三期投放，随原料收集能力逐步扩大：</w:t>
      </w:r>
      <w:r>
        <w:t xml:space="preserve"> 一期 10,000 吨/年（约33吨/天，产基础油约7,200吨/年）；二期 20,000 吨/年；三期（设计产能）30,000 吨/年（约100吨/天，产基础油约21,600吨/年）。工厂采用</w:t>
      </w:r>
      <w:r>
        <w:rPr>
          <w:b/>
          <w:bCs/>
        </w:rPr>
        <w:t xml:space="preserve">模块化设计</w:t>
      </w:r>
      <w:r>
        <w:t xml:space="preserve">：许可与基础设施一次性按 30,000 吨/年设计，工艺线分模块增加。副产品为瓦斯油馏分和沥青质残渣。进一步扩至“大区间”（每月数万吨级别）仅能以进口枢纽模式实现，属三期之后的战略远景，非当前目标。</w:t>
      </w:r>
    </w:p>
    <w:p>
      <w:pPr>
        <w:pStyle w:val="Heading2"/>
        <w:spacing w:after="100" w:before="200"/>
      </w:pPr>
      <w:r>
        <w:t xml:space="preserve">2. 原料市场：保加利亚</w:t>
      </w:r>
    </w:p>
    <w:p>
      <w:pPr>
        <w:spacing w:after="120" w:line="276"/>
        <w:jc w:val="both"/>
      </w:pPr>
      <w:r>
        <w:t xml:space="preserve">保加利亚“产生量大、合法收集量小”。据保加利亚回收协会，全国每年官方收集废油仅约 11,500 吨，大量废油被违规焚烧或进入非法流通；环保执行署数据显示利用处置 13,569 吨、其中再生 12,310 吨。按润滑油消费 7–9 万吨/年估算，年产生废油 3.5–5 万吨。[1][2]</w:t>
      </w:r>
    </w:p>
    <w:p>
      <w:pPr>
        <w:spacing w:after="120" w:line="276"/>
        <w:jc w:val="both"/>
      </w:pPr>
      <w:r>
        <w:rPr>
          <w:b/>
          <w:bCs/>
        </w:rPr>
        <w:t xml:space="preserve">原料结论：</w:t>
      </w:r>
      <w:r>
        <w:t xml:space="preserve"> 10–30 千吨/年的目标</w:t>
      </w:r>
      <w:r>
        <w:rPr>
          <w:b/>
          <w:bCs/>
        </w:rPr>
        <w:t xml:space="preserve">有充分保障</w:t>
      </w:r>
      <w:r>
        <w:t xml:space="preserve">。一期 10,000 吨/年甚至低于全国现有合法收集量；三期 30,000 吨/年可由保加利亚收集 + 区域来源 + 国企招标 + 适度进口覆盖。关键不是“有没有油”，而是收集网络与价格。</w:t>
      </w:r>
    </w:p>
    <w:p>
      <w:pPr>
        <w:spacing w:after="120" w:line="276"/>
        <w:jc w:val="both"/>
      </w:pPr>
      <w:r>
        <w:rPr>
          <w:b/>
          <w:bCs/>
        </w:rPr>
        <w:t xml:space="preserve">国企作为原料渠道：</w:t>
      </w:r>
      <w:r>
        <w:t xml:space="preserve"> 保加利亚有大量国有废油产生单位——“马里查东矿业”（露天煤矿）、“马里查东2号火电厂”、“科兹洛杜伊核电站”、“保加利亚国家铁路控股”、“首都电车公司”、国有港口、供水公司、国防工厂等。依法它们只能将废油交给持证运营商，并通过</w:t>
      </w:r>
      <w:r>
        <w:rPr>
          <w:b/>
          <w:bCs/>
        </w:rPr>
        <w:t xml:space="preserve">公开招标出售废油</w:t>
      </w:r>
      <w:r>
        <w:t xml:space="preserve">（政府采购法 ЗОП）。有据可查的例子：马里查东矿业（约80吨）、首都电车公司（2024年）、Asarel-Medet。本厂可系统性中标——透明、可签约的渠道。[13][14]</w:t>
      </w:r>
    </w:p>
    <w:p>
      <w:pPr>
        <w:spacing w:after="120" w:line="276"/>
        <w:jc w:val="both"/>
      </w:pPr>
      <w:r>
        <w:rPr>
          <w:b/>
          <w:bCs/>
        </w:rPr>
        <w:t xml:space="preserve">竞争对手：</w:t>
      </w:r>
      <w:r>
        <w:t xml:space="preserve"> 实际仅两家——Lubrika（鲁塞，小量，I类）与 Polihim-SS（卢科维特，&gt;50吨/天，持综合许可证 № 440-N2/2024，但产品为I类、技术陈旧）。国内无现代化II类工厂，此细分空白。[3]</w:t>
      </w:r>
    </w:p>
    <w:p>
      <w:pPr>
        <w:spacing w:after="120" w:line="276"/>
        <w:jc w:val="both"/>
      </w:pPr>
      <w:r>
        <w:rPr>
          <w:b/>
          <w:bCs/>
        </w:rPr>
        <w:t xml:space="preserve">原料价格：</w:t>
      </w:r>
      <w:r>
        <w:t xml:space="preserve"> 有据可查为交油点 0.13 欧元/升 至 0.25–0.40 欧元/升（约120–350欧元/吨，2024–2026年在售报价）。测算按 250–300 欧元/吨收购并自建收集网络。[4]</w:t>
      </w:r>
    </w:p>
    <w:p>
      <w:pPr>
        <w:pStyle w:val="Heading2"/>
        <w:spacing w:after="100" w:before="200"/>
      </w:pPr>
      <w:r>
        <w:t xml:space="preserve">3. 销售市场：II类基础油</w:t>
      </w:r>
    </w:p>
    <w:p>
      <w:pPr>
        <w:spacing w:after="120" w:line="276"/>
        <w:jc w:val="both"/>
      </w:pPr>
      <w:r>
        <w:t xml:space="preserve">全球再生基础油市场 2025 年约 24.7 亿美元，2034 年预计 42 亿美元（CAGR约6%），其中II类最大且增速最快（CAGR约7.7%）。再生能耗比原油炼制低约50%。欧洲再生总产能约 87.7 万吨/年且以I类为主，高品质II类结构性短缺；埃克森美孚 2025 年启动自有II类再生项目，印证赛道。价格（Lubes’N’Greases 欧洲）：150N约1,075–1,110、220N约1,125–1,150、600N约1,155–1,200 欧元/吨。项目保守按售价 850–950 欧元/吨测算。[5][6][7][15]</w:t>
      </w:r>
    </w:p>
    <w:p>
      <w:pPr>
        <w:spacing w:after="120" w:line="276"/>
        <w:jc w:val="both"/>
      </w:pPr>
      <w:r>
        <w:rPr>
          <w:b/>
          <w:bCs/>
        </w:rPr>
        <w:t xml:space="preserve">巴尔干销售半径（500–800公里）短缺：</w:t>
      </w:r>
      <w:r>
        <w:t xml:space="preserve"> 希腊仅 LPC 一套（3.8万吨/年，I类）[9]；土耳其为净进口国，润滑油消费超50万吨/年[8]；罗马尼亚、塞尔维亚、北马其顿、阿尔巴尼亚、科索沃无现代II类产能；乌克兰、摩尔多瓦经黑海物流覆盖。</w:t>
      </w:r>
    </w:p>
    <w:p>
      <w:pPr>
        <w:pStyle w:val="Heading2"/>
        <w:spacing w:after="100" w:before="200"/>
      </w:pPr>
      <w:r>
        <w:t xml:space="preserve">4. 法规环境：有利且清晰</w:t>
      </w:r>
    </w:p>
    <w:p>
      <w:pPr>
        <w:spacing w:after="120" w:line="276"/>
        <w:jc w:val="both"/>
      </w:pPr>
      <w:r>
        <w:rPr>
          <w:b/>
          <w:bCs/>
        </w:rPr>
        <w:t xml:space="preserve">保加利亚：</w:t>
      </w:r>
      <w:r>
        <w:t xml:space="preserve"> 《废物管理法》——收集/储存/利用须许可证（第67条）或综合许可证，主管部门在完整材料后2个月内决定；《废油条例》实行生产者责任延伸（EPR），以再生为优先目标，否则缴产品费（内生需求）；《环境保护法》第六章（环评）与第七章（综合许可证/IPPC）：日处理危废超10吨须取综合许可证，2019年后可环评+综合许可证合并办理（省4–6个月）。先例：Polihim-SS 综合许可证 № 440-N2/2024。[3][10][11]</w:t>
      </w:r>
    </w:p>
    <w:p>
      <w:pPr>
        <w:spacing w:after="120" w:line="276"/>
        <w:jc w:val="both"/>
      </w:pPr>
      <w:r>
        <w:rPr>
          <w:b/>
          <w:bCs/>
        </w:rPr>
        <w:t xml:space="preserve">欧盟：</w:t>
      </w:r>
      <w:r>
        <w:t xml:space="preserve"> 废物层级（2008/98/EC）再生优先于焚烧；《废物运输条例》(EU) 2024/1157（2026年5月21日起）允许从周边非欧盟国（土耳其为经合组织成员、塞尔维亚、北马其顿）按事先通知与同意程序（PIC）进口危废用于资源化——本项目进口原料通道的法律基础；REACH：再生基础油须注册或适用回收物质豁免。[12]</w:t>
      </w:r>
    </w:p>
    <w:p>
      <w:pPr>
        <w:pStyle w:val="Heading2"/>
        <w:spacing w:after="100" w:before="200"/>
      </w:pPr>
      <w:r>
        <w:t xml:space="preserve">5. 选址布尔加斯的理由</w:t>
      </w:r>
    </w:p>
    <w:p>
      <w:pPr>
        <w:pStyle w:val="ListParagraph"/>
        <w:numPr>
          <w:ilvl w:val="0"/>
          <w:numId w:val="2"/>
        </w:numPr>
        <w:spacing w:after="60" w:line="264"/>
        <w:jc w:val="left"/>
      </w:pPr>
      <w:r>
        <w:t xml:space="preserve">港口+石化集群：巴尔干最大炼厂（卢克石油布尔加斯）、罐区、码头、铁路与管道、熟练工人。</w:t>
      </w:r>
    </w:p>
    <w:p>
      <w:pPr>
        <w:pStyle w:val="ListParagraph"/>
        <w:numPr>
          <w:ilvl w:val="0"/>
          <w:numId w:val="2"/>
        </w:numPr>
        <w:spacing w:after="60" w:line="264"/>
        <w:jc w:val="left"/>
      </w:pPr>
      <w:r>
        <w:t xml:space="preserve">物流：海运覆盖土耳其、希腊、乌克兰、格鲁吉亚、罗马尼亚；陆运覆盖保加利亚全境及塞尔维亚、马其顿。港口对进口原料储备至关重要。</w:t>
      </w:r>
    </w:p>
    <w:p>
      <w:pPr>
        <w:pStyle w:val="ListParagraph"/>
        <w:numPr>
          <w:ilvl w:val="0"/>
          <w:numId w:val="2"/>
        </w:numPr>
        <w:spacing w:after="60" w:line="264"/>
        <w:jc w:val="left"/>
      </w:pPr>
      <w:r>
        <w:t xml:space="preserve">工业园区基础设施完备，具备布置危险工艺的经验。</w:t>
      </w:r>
    </w:p>
    <w:p>
      <w:pPr>
        <w:pStyle w:val="ListParagraph"/>
        <w:numPr>
          <w:ilvl w:val="0"/>
          <w:numId w:val="2"/>
        </w:numPr>
        <w:spacing w:after="60" w:line="264"/>
        <w:jc w:val="left"/>
      </w:pPr>
      <w:r>
        <w:t xml:space="preserve">副产品有现成销路：瓦斯油馏分、沥青残渣供石化与道路建设。</w:t>
      </w:r>
    </w:p>
    <w:p>
      <w:pPr>
        <w:pStyle w:val="Heading2"/>
        <w:spacing w:after="100" w:before="200"/>
      </w:pPr>
      <w:r>
        <w:t xml:space="preserve">6. 工艺与设备（中方合作伙伴 + 景津）</w:t>
      </w:r>
    </w:p>
    <w:p>
      <w:pPr>
        <w:pStyle w:val="ListParagraph"/>
        <w:numPr>
          <w:ilvl w:val="0"/>
          <w:numId w:val="2"/>
        </w:numPr>
        <w:spacing w:after="60" w:line="264"/>
        <w:jc w:val="left"/>
      </w:pPr>
      <w:r>
        <w:t xml:space="preserve">接收与预处理：沉降、脱水、除杂、过滤——景津程控压滤机（隔膜压榨至60公斤）。</w:t>
      </w:r>
    </w:p>
    <w:p>
      <w:pPr>
        <w:pStyle w:val="ListParagraph"/>
        <w:numPr>
          <w:ilvl w:val="0"/>
          <w:numId w:val="2"/>
        </w:numPr>
        <w:spacing w:after="60" w:line="264"/>
        <w:jc w:val="left"/>
      </w:pPr>
      <w:r>
        <w:t xml:space="preserve">脱水与轻馏分脱除——闪蒸/真空。</w:t>
      </w:r>
    </w:p>
    <w:p>
      <w:pPr>
        <w:pStyle w:val="ListParagraph"/>
        <w:numPr>
          <w:ilvl w:val="0"/>
          <w:numId w:val="2"/>
        </w:numPr>
        <w:spacing w:after="60" w:line="264"/>
        <w:jc w:val="left"/>
      </w:pPr>
      <w:r>
        <w:t xml:space="preserve">真空蒸馏/刮膜短程蒸发——无热裂解分离润滑油馏分；蒸发器、反应釜、压力容器采用景津；污水用 MVR 蒸发（吨水电耗&lt;70度）。</w:t>
      </w:r>
    </w:p>
    <w:p>
      <w:pPr>
        <w:pStyle w:val="ListParagraph"/>
        <w:numPr>
          <w:ilvl w:val="0"/>
          <w:numId w:val="2"/>
        </w:numPr>
        <w:spacing w:after="60" w:line="264"/>
        <w:jc w:val="left"/>
      </w:pPr>
      <w:r>
        <w:t xml:space="preserve">馏分精制（吸附/溶剂）达 II类：降硫、降色、降芳烃、降酸值。1–3万吨/年最优为“多级真空蒸馏+可再生吸附剂抛光”。[16]</w:t>
      </w:r>
    </w:p>
    <w:p>
      <w:pPr>
        <w:pStyle w:val="ListParagraph"/>
        <w:numPr>
          <w:ilvl w:val="0"/>
          <w:numId w:val="2"/>
        </w:numPr>
        <w:spacing w:after="60" w:line="264"/>
        <w:jc w:val="left"/>
      </w:pPr>
      <w:r>
        <w:t xml:space="preserve">成品过滤与灌装——景津压滤机、叶片过滤机。</w:t>
      </w:r>
    </w:p>
    <w:p>
      <w:pPr>
        <w:pStyle w:val="ListParagraph"/>
        <w:numPr>
          <w:ilvl w:val="0"/>
          <w:numId w:val="2"/>
        </w:numPr>
        <w:spacing w:after="60" w:line="264"/>
        <w:jc w:val="left"/>
      </w:pPr>
      <w:r>
        <w:t xml:space="preserve">二次物流：油泥/残渣用景津低温干燥机（无粉尘、无废气）；水循环回用。</w:t>
      </w:r>
    </w:p>
    <w:p>
      <w:pPr>
        <w:pStyle w:val="ListParagraph"/>
        <w:numPr>
          <w:ilvl w:val="0"/>
          <w:numId w:val="2"/>
        </w:numPr>
        <w:spacing w:after="60" w:line="264"/>
        <w:jc w:val="left"/>
      </w:pPr>
      <w:r>
        <w:t xml:space="preserve">电气与自动化：景津电控柜（施耐德/西门子/ABB 元件，至6300A），E-House 预装式变电站整体交付（缩短安装、利于CE认证）。</w:t>
      </w:r>
    </w:p>
    <w:p>
      <w:pPr>
        <w:pStyle w:val="Heading2"/>
        <w:spacing w:after="100" w:before="200"/>
      </w:pPr>
      <w:r>
        <w:t xml:space="preserve">7. 经济指标（初步估算，待可研确认）</w:t>
      </w:r>
    </w:p>
    <w:tbl>
      <w:tblPr>
        <w:tblW w:type="dxa" w:w="9020"/>
        <w:tblBorders>
          <w:top w:val="single" w:color="AAB4CC" w:sz="4"/>
          <w:left w:val="single" w:color="AAB4CC" w:sz="4"/>
          <w:bottom w:val="single" w:color="AAB4CC" w:sz="4"/>
          <w:right w:val="single" w:color="AAB4CC" w:sz="4"/>
          <w:insideH w:val="single" w:color="CCD3E0" w:sz="2"/>
          <w:insideV w:val="single" w:color="CCD3E0" w:sz="2"/>
        </w:tblBorders>
      </w:tblPr>
      <w:tblGrid>
        <w:gridCol w:w="3400"/>
        <w:gridCol w:w="2810"/>
        <w:gridCol w:w="2810"/>
      </w:tblGrid>
      <w:tr>
        <w:trPr>
          <w:tblHeader/>
        </w:trPr>
        <w:tc>
          <w:tcPr>
            <w:tcW w:type="dxa" w:w="3400"/>
            <w:shd w:fill="1F3864" w:val="clear"/>
            <w:tcMar>
              <w:top w:type="dxa" w:w="40"/>
              <w:left w:type="dxa" w:w="80"/>
              <w:bottom w:type="dxa" w:w="40"/>
              <w:right w:type="dxa" w:w="80"/>
            </w:tcMar>
          </w:tcPr>
          <w:p>
            <w:pPr>
              <w:spacing w:after="20" w:before="20" w:line="252"/>
              <w:jc w:val="left"/>
            </w:pPr>
            <w:r>
              <w:rPr>
                <w:b/>
                <w:bCs/>
                <w:color w:val="FFFFFF"/>
              </w:rPr>
              <w:t xml:space="preserve">指标</w:t>
            </w:r>
          </w:p>
        </w:tc>
        <w:tc>
          <w:tcPr>
            <w:tcW w:type="dxa" w:w="2810"/>
            <w:shd w:fill="1F3864" w:val="clear"/>
            <w:tcMar>
              <w:top w:type="dxa" w:w="40"/>
              <w:left w:type="dxa" w:w="80"/>
              <w:bottom w:type="dxa" w:w="40"/>
              <w:right w:type="dxa" w:w="80"/>
            </w:tcMar>
          </w:tcPr>
          <w:p>
            <w:pPr>
              <w:spacing w:after="20" w:before="20" w:line="252"/>
              <w:jc w:val="left"/>
            </w:pPr>
            <w:r>
              <w:rPr>
                <w:b/>
                <w:bCs/>
                <w:color w:val="FFFFFF"/>
              </w:rPr>
              <w:t xml:space="preserve">一期（1万吨/年）</w:t>
            </w:r>
          </w:p>
        </w:tc>
        <w:tc>
          <w:tcPr>
            <w:tcW w:type="dxa" w:w="2810"/>
            <w:shd w:fill="1F3864" w:val="clear"/>
            <w:tcMar>
              <w:top w:type="dxa" w:w="40"/>
              <w:left w:type="dxa" w:w="80"/>
              <w:bottom w:type="dxa" w:w="40"/>
              <w:right w:type="dxa" w:w="80"/>
            </w:tcMar>
          </w:tcPr>
          <w:p>
            <w:pPr>
              <w:spacing w:after="20" w:before="20" w:line="252"/>
              <w:jc w:val="left"/>
            </w:pPr>
            <w:r>
              <w:rPr>
                <w:b/>
                <w:bCs/>
                <w:color w:val="FFFFFF"/>
              </w:rPr>
              <w:t xml:space="preserve">三期（3万吨/年）</w:t>
            </w:r>
          </w:p>
        </w:tc>
      </w:tr>
      <w:tr>
        <w:tc>
          <w:tcPr>
            <w:tcW w:type="dxa" w:w="3400"/>
            <w:shd w:fill="FFFFFF" w:val="clear"/>
            <w:tcMar>
              <w:top w:type="dxa" w:w="40"/>
              <w:left w:type="dxa" w:w="80"/>
              <w:bottom w:type="dxa" w:w="40"/>
              <w:right w:type="dxa" w:w="80"/>
            </w:tcMar>
          </w:tcPr>
          <w:p>
            <w:pPr>
              <w:spacing w:after="20" w:before="20" w:line="252"/>
              <w:jc w:val="left"/>
            </w:pPr>
            <w:r>
              <w:t xml:space="preserve">II类基础油产量（约72%）</w:t>
            </w:r>
          </w:p>
        </w:tc>
        <w:tc>
          <w:tcPr>
            <w:tcW w:type="dxa" w:w="2810"/>
            <w:shd w:fill="FFFFFF" w:val="clear"/>
            <w:tcMar>
              <w:top w:type="dxa" w:w="40"/>
              <w:left w:type="dxa" w:w="80"/>
              <w:bottom w:type="dxa" w:w="40"/>
              <w:right w:type="dxa" w:w="80"/>
            </w:tcMar>
          </w:tcPr>
          <w:p>
            <w:pPr>
              <w:spacing w:after="20" w:before="20" w:line="252"/>
              <w:jc w:val="left"/>
            </w:pPr>
            <w:r>
              <w:t xml:space="preserve">约 7,200 吨/年</w:t>
            </w:r>
          </w:p>
        </w:tc>
        <w:tc>
          <w:tcPr>
            <w:tcW w:type="dxa" w:w="2810"/>
            <w:shd w:fill="FFFFFF" w:val="clear"/>
            <w:tcMar>
              <w:top w:type="dxa" w:w="40"/>
              <w:left w:type="dxa" w:w="80"/>
              <w:bottom w:type="dxa" w:w="40"/>
              <w:right w:type="dxa" w:w="80"/>
            </w:tcMar>
          </w:tcPr>
          <w:p>
            <w:pPr>
              <w:spacing w:after="20" w:before="20" w:line="252"/>
              <w:jc w:val="left"/>
            </w:pPr>
            <w:r>
              <w:t xml:space="preserve">约 21,600 吨/年</w:t>
            </w:r>
          </w:p>
        </w:tc>
      </w:tr>
      <w:tr>
        <w:tc>
          <w:tcPr>
            <w:tcW w:type="dxa" w:w="3400"/>
            <w:shd w:fill="EEF1F8" w:val="clear"/>
            <w:tcMar>
              <w:top w:type="dxa" w:w="40"/>
              <w:left w:type="dxa" w:w="80"/>
              <w:bottom w:type="dxa" w:w="40"/>
              <w:right w:type="dxa" w:w="80"/>
            </w:tcMar>
          </w:tcPr>
          <w:p>
            <w:pPr>
              <w:spacing w:after="20" w:before="20" w:line="252"/>
              <w:jc w:val="left"/>
            </w:pPr>
            <w:r>
              <w:t xml:space="preserve">总投资（设备+土建+基础设施+许可）</w:t>
            </w:r>
          </w:p>
        </w:tc>
        <w:tc>
          <w:tcPr>
            <w:tcW w:type="dxa" w:w="2810"/>
            <w:shd w:fill="EEF1F8" w:val="clear"/>
            <w:tcMar>
              <w:top w:type="dxa" w:w="40"/>
              <w:left w:type="dxa" w:w="80"/>
              <w:bottom w:type="dxa" w:w="40"/>
              <w:right w:type="dxa" w:w="80"/>
            </w:tcMar>
          </w:tcPr>
          <w:p>
            <w:pPr>
              <w:spacing w:after="20" w:before="20" w:line="252"/>
              <w:jc w:val="left"/>
            </w:pPr>
            <w:r>
              <w:t xml:space="preserve">约 600–1,000 万欧元</w:t>
            </w:r>
          </w:p>
        </w:tc>
        <w:tc>
          <w:tcPr>
            <w:tcW w:type="dxa" w:w="2810"/>
            <w:shd w:fill="EEF1F8" w:val="clear"/>
            <w:tcMar>
              <w:top w:type="dxa" w:w="40"/>
              <w:left w:type="dxa" w:w="80"/>
              <w:bottom w:type="dxa" w:w="40"/>
              <w:right w:type="dxa" w:w="80"/>
            </w:tcMar>
          </w:tcPr>
          <w:p>
            <w:pPr>
              <w:spacing w:after="20" w:before="20" w:line="252"/>
              <w:jc w:val="left"/>
            </w:pPr>
            <w:r>
              <w:t xml:space="preserve">约 1,200–2,000 万欧元（累计）</w:t>
            </w:r>
          </w:p>
        </w:tc>
      </w:tr>
      <w:tr>
        <w:tc>
          <w:tcPr>
            <w:tcW w:type="dxa" w:w="3400"/>
            <w:shd w:fill="FFFFFF" w:val="clear"/>
            <w:tcMar>
              <w:top w:type="dxa" w:w="40"/>
              <w:left w:type="dxa" w:w="80"/>
              <w:bottom w:type="dxa" w:w="40"/>
              <w:right w:type="dxa" w:w="80"/>
            </w:tcMar>
          </w:tcPr>
          <w:p>
            <w:pPr>
              <w:spacing w:after="20" w:before="20" w:line="252"/>
              <w:jc w:val="left"/>
            </w:pPr>
            <w:r>
              <w:t xml:space="preserve">原料采购价</w:t>
            </w:r>
          </w:p>
        </w:tc>
        <w:tc>
          <w:tcPr>
            <w:tcW w:type="dxa" w:w="2810"/>
            <w:shd w:fill="FFFFFF" w:val="clear"/>
            <w:tcMar>
              <w:top w:type="dxa" w:w="40"/>
              <w:left w:type="dxa" w:w="80"/>
              <w:bottom w:type="dxa" w:w="40"/>
              <w:right w:type="dxa" w:w="80"/>
            </w:tcMar>
          </w:tcPr>
          <w:p>
            <w:pPr>
              <w:spacing w:after="20" w:before="20" w:line="252"/>
              <w:jc w:val="left"/>
            </w:pPr>
            <w:r>
              <w:t xml:space="preserve">250–300 欧元/吨</w:t>
            </w:r>
          </w:p>
        </w:tc>
        <w:tc>
          <w:tcPr>
            <w:tcW w:type="dxa" w:w="2810"/>
            <w:shd w:fill="FFFFFF" w:val="clear"/>
            <w:tcMar>
              <w:top w:type="dxa" w:w="40"/>
              <w:left w:type="dxa" w:w="80"/>
              <w:bottom w:type="dxa" w:w="40"/>
              <w:right w:type="dxa" w:w="80"/>
            </w:tcMar>
          </w:tcPr>
          <w:p>
            <w:pPr>
              <w:spacing w:after="20" w:before="20" w:line="252"/>
              <w:jc w:val="left"/>
            </w:pPr>
            <w:r>
              <w:t xml:space="preserve">250–300 欧元/吨</w:t>
            </w:r>
          </w:p>
        </w:tc>
      </w:tr>
      <w:tr>
        <w:tc>
          <w:tcPr>
            <w:tcW w:type="dxa" w:w="3400"/>
            <w:shd w:fill="EEF1F8" w:val="clear"/>
            <w:tcMar>
              <w:top w:type="dxa" w:w="40"/>
              <w:left w:type="dxa" w:w="80"/>
              <w:bottom w:type="dxa" w:w="40"/>
              <w:right w:type="dxa" w:w="80"/>
            </w:tcMar>
          </w:tcPr>
          <w:p>
            <w:pPr>
              <w:spacing w:after="20" w:before="20" w:line="252"/>
              <w:jc w:val="left"/>
            </w:pPr>
            <w:r>
              <w:t xml:space="preserve">再生II类油售价</w:t>
            </w:r>
          </w:p>
        </w:tc>
        <w:tc>
          <w:tcPr>
            <w:tcW w:type="dxa" w:w="2810"/>
            <w:shd w:fill="EEF1F8" w:val="clear"/>
            <w:tcMar>
              <w:top w:type="dxa" w:w="40"/>
              <w:left w:type="dxa" w:w="80"/>
              <w:bottom w:type="dxa" w:w="40"/>
              <w:right w:type="dxa" w:w="80"/>
            </w:tcMar>
          </w:tcPr>
          <w:p>
            <w:pPr>
              <w:spacing w:after="20" w:before="20" w:line="252"/>
              <w:jc w:val="left"/>
            </w:pPr>
            <w:r>
              <w:t xml:space="preserve">850–950 欧元/吨</w:t>
            </w:r>
          </w:p>
        </w:tc>
        <w:tc>
          <w:tcPr>
            <w:tcW w:type="dxa" w:w="2810"/>
            <w:shd w:fill="EEF1F8" w:val="clear"/>
            <w:tcMar>
              <w:top w:type="dxa" w:w="40"/>
              <w:left w:type="dxa" w:w="80"/>
              <w:bottom w:type="dxa" w:w="40"/>
              <w:right w:type="dxa" w:w="80"/>
            </w:tcMar>
          </w:tcPr>
          <w:p>
            <w:pPr>
              <w:spacing w:after="20" w:before="20" w:line="252"/>
              <w:jc w:val="left"/>
            </w:pPr>
            <w:r>
              <w:t xml:space="preserve">850–950 欧元/吨</w:t>
            </w:r>
          </w:p>
        </w:tc>
      </w:tr>
      <w:tr>
        <w:tc>
          <w:tcPr>
            <w:tcW w:type="dxa" w:w="3400"/>
            <w:shd w:fill="FFFFFF" w:val="clear"/>
            <w:tcMar>
              <w:top w:type="dxa" w:w="40"/>
              <w:left w:type="dxa" w:w="80"/>
              <w:bottom w:type="dxa" w:w="40"/>
              <w:right w:type="dxa" w:w="80"/>
            </w:tcMar>
          </w:tcPr>
          <w:p>
            <w:pPr>
              <w:spacing w:after="20" w:before="20" w:line="252"/>
              <w:jc w:val="left"/>
            </w:pPr>
            <w:r>
              <w:t xml:space="preserve">基础油毛利</w:t>
            </w:r>
          </w:p>
        </w:tc>
        <w:tc>
          <w:tcPr>
            <w:tcW w:type="dxa" w:w="2810"/>
            <w:shd w:fill="FFFFFF" w:val="clear"/>
            <w:tcMar>
              <w:top w:type="dxa" w:w="40"/>
              <w:left w:type="dxa" w:w="80"/>
              <w:bottom w:type="dxa" w:w="40"/>
              <w:right w:type="dxa" w:w="80"/>
            </w:tcMar>
          </w:tcPr>
          <w:p>
            <w:pPr>
              <w:spacing w:after="20" w:before="20" w:line="252"/>
              <w:jc w:val="left"/>
            </w:pPr>
            <w:r>
              <w:t xml:space="preserve">约 500–600 欧元/吨</w:t>
            </w:r>
          </w:p>
        </w:tc>
        <w:tc>
          <w:tcPr>
            <w:tcW w:type="dxa" w:w="2810"/>
            <w:shd w:fill="FFFFFF" w:val="clear"/>
            <w:tcMar>
              <w:top w:type="dxa" w:w="40"/>
              <w:left w:type="dxa" w:w="80"/>
              <w:bottom w:type="dxa" w:w="40"/>
              <w:right w:type="dxa" w:w="80"/>
            </w:tcMar>
          </w:tcPr>
          <w:p>
            <w:pPr>
              <w:spacing w:after="20" w:before="20" w:line="252"/>
              <w:jc w:val="left"/>
            </w:pPr>
            <w:r>
              <w:t xml:space="preserve">约 500–600 欧元/吨</w:t>
            </w:r>
          </w:p>
        </w:tc>
      </w:tr>
      <w:tr>
        <w:tc>
          <w:tcPr>
            <w:tcW w:type="dxa" w:w="3400"/>
            <w:shd w:fill="EEF1F8" w:val="clear"/>
            <w:tcMar>
              <w:top w:type="dxa" w:w="40"/>
              <w:left w:type="dxa" w:w="80"/>
              <w:bottom w:type="dxa" w:w="40"/>
              <w:right w:type="dxa" w:w="80"/>
            </w:tcMar>
          </w:tcPr>
          <w:p>
            <w:pPr>
              <w:spacing w:after="20" w:before="20" w:line="252"/>
              <w:jc w:val="left"/>
            </w:pPr>
            <w:r>
              <w:t xml:space="preserve">副产品附加收入</w:t>
            </w:r>
          </w:p>
        </w:tc>
        <w:tc>
          <w:tcPr>
            <w:tcW w:type="dxa" w:w="2810"/>
            <w:shd w:fill="EEF1F8" w:val="clear"/>
            <w:tcMar>
              <w:top w:type="dxa" w:w="40"/>
              <w:left w:type="dxa" w:w="80"/>
              <w:bottom w:type="dxa" w:w="40"/>
              <w:right w:type="dxa" w:w="80"/>
            </w:tcMar>
          </w:tcPr>
          <w:p>
            <w:pPr>
              <w:spacing w:after="20" w:before="20" w:line="252"/>
              <w:jc w:val="left"/>
            </w:pPr>
            <w:r>
              <w:t xml:space="preserve">增加营收 15–20%</w:t>
            </w:r>
          </w:p>
        </w:tc>
        <w:tc>
          <w:tcPr>
            <w:tcW w:type="dxa" w:w="2810"/>
            <w:shd w:fill="EEF1F8" w:val="clear"/>
            <w:tcMar>
              <w:top w:type="dxa" w:w="40"/>
              <w:left w:type="dxa" w:w="80"/>
              <w:bottom w:type="dxa" w:w="40"/>
              <w:right w:type="dxa" w:w="80"/>
            </w:tcMar>
          </w:tcPr>
          <w:p>
            <w:pPr>
              <w:spacing w:after="20" w:before="20" w:line="252"/>
              <w:jc w:val="left"/>
            </w:pPr>
            <w:r>
              <w:t xml:space="preserve">增加营收 15–20%</w:t>
            </w:r>
          </w:p>
        </w:tc>
      </w:tr>
      <w:tr>
        <w:tc>
          <w:tcPr>
            <w:tcW w:type="dxa" w:w="3400"/>
            <w:shd w:fill="FFFFFF" w:val="clear"/>
            <w:tcMar>
              <w:top w:type="dxa" w:w="40"/>
              <w:left w:type="dxa" w:w="80"/>
              <w:bottom w:type="dxa" w:w="40"/>
              <w:right w:type="dxa" w:w="80"/>
            </w:tcMar>
          </w:tcPr>
          <w:p>
            <w:pPr>
              <w:spacing w:after="20" w:before="20" w:line="252"/>
              <w:jc w:val="left"/>
            </w:pPr>
            <w:r>
              <w:t xml:space="preserve">投资回收期（估算）</w:t>
            </w:r>
          </w:p>
        </w:tc>
        <w:tc>
          <w:tcPr>
            <w:tcW w:type="dxa" w:w="2810"/>
            <w:shd w:fill="FFFFFF" w:val="clear"/>
            <w:tcMar>
              <w:top w:type="dxa" w:w="40"/>
              <w:left w:type="dxa" w:w="80"/>
              <w:bottom w:type="dxa" w:w="40"/>
              <w:right w:type="dxa" w:w="80"/>
            </w:tcMar>
          </w:tcPr>
          <w:p>
            <w:pPr>
              <w:spacing w:after="20" w:before="20" w:line="252"/>
              <w:jc w:val="left"/>
            </w:pPr>
            <w:r>
              <w:t xml:space="preserve">3–5 年</w:t>
            </w:r>
          </w:p>
        </w:tc>
        <w:tc>
          <w:tcPr>
            <w:tcW w:type="dxa" w:w="2810"/>
            <w:shd w:fill="FFFFFF" w:val="clear"/>
            <w:tcMar>
              <w:top w:type="dxa" w:w="40"/>
              <w:left w:type="dxa" w:w="80"/>
              <w:bottom w:type="dxa" w:w="40"/>
              <w:right w:type="dxa" w:w="80"/>
            </w:tcMar>
          </w:tcPr>
          <w:p>
            <w:pPr>
              <w:spacing w:after="20" w:before="20" w:line="252"/>
              <w:jc w:val="left"/>
            </w:pPr>
            <w:r>
              <w:t xml:space="preserve">3–4 年</w:t>
            </w:r>
          </w:p>
        </w:tc>
      </w:tr>
    </w:tbl>
    <w:p>
      <w:pPr>
        <w:spacing w:after="60"/>
      </w:pPr>
    </w:p>
    <w:p>
      <w:pPr>
        <w:pBdr>
          <w:left w:val="single" w:color="C00000" w:sz="18" w:space="12"/>
        </w:pBdr>
        <w:shd w:fill="FBE9E7" w:val="clear"/>
        <w:spacing w:after="120" w:before="120" w:line="276"/>
        <w:jc w:val="both"/>
      </w:pPr>
      <w:r>
        <w:t xml:space="preserve">投资额与回收期为量级估算，用于阶段比较，非承诺值；最终以可研为准。</w:t>
      </w:r>
    </w:p>
    <w:p>
      <w:pPr>
        <w:pStyle w:val="Heading2"/>
        <w:spacing w:after="100" w:before="200"/>
      </w:pPr>
      <w:r>
        <w:t xml:space="preserve">8. 主要风险与对策</w:t>
      </w:r>
    </w:p>
    <w:tbl>
      <w:tblPr>
        <w:tblW w:type="dxa" w:w="9020"/>
        <w:tblBorders>
          <w:top w:val="single" w:color="AAB4CC" w:sz="4"/>
          <w:left w:val="single" w:color="AAB4CC" w:sz="4"/>
          <w:bottom w:val="single" w:color="AAB4CC" w:sz="4"/>
          <w:right w:val="single" w:color="AAB4CC" w:sz="4"/>
          <w:insideH w:val="single" w:color="CCD3E0" w:sz="2"/>
          <w:insideV w:val="single" w:color="CCD3E0" w:sz="2"/>
        </w:tblBorders>
      </w:tblPr>
      <w:tblGrid>
        <w:gridCol w:w="3000"/>
        <w:gridCol w:w="6020"/>
      </w:tblGrid>
      <w:tr>
        <w:trPr>
          <w:tblHeader/>
        </w:trPr>
        <w:tc>
          <w:tcPr>
            <w:tcW w:type="dxa" w:w="3000"/>
            <w:shd w:fill="1F3864" w:val="clear"/>
            <w:tcMar>
              <w:top w:type="dxa" w:w="40"/>
              <w:left w:type="dxa" w:w="80"/>
              <w:bottom w:type="dxa" w:w="40"/>
              <w:right w:type="dxa" w:w="80"/>
            </w:tcMar>
          </w:tcPr>
          <w:p>
            <w:pPr>
              <w:spacing w:after="20" w:before="20" w:line="252"/>
              <w:jc w:val="left"/>
            </w:pPr>
            <w:r>
              <w:rPr>
                <w:b/>
                <w:bCs/>
                <w:color w:val="FFFFFF"/>
              </w:rPr>
              <w:t xml:space="preserve">风险</w:t>
            </w:r>
          </w:p>
        </w:tc>
        <w:tc>
          <w:tcPr>
            <w:tcW w:type="dxa" w:w="6020"/>
            <w:shd w:fill="1F3864" w:val="clear"/>
            <w:tcMar>
              <w:top w:type="dxa" w:w="40"/>
              <w:left w:type="dxa" w:w="80"/>
              <w:bottom w:type="dxa" w:w="40"/>
              <w:right w:type="dxa" w:w="80"/>
            </w:tcMar>
          </w:tcPr>
          <w:p>
            <w:pPr>
              <w:spacing w:after="20" w:before="20" w:line="252"/>
              <w:jc w:val="left"/>
            </w:pPr>
            <w:r>
              <w:rPr>
                <w:b/>
                <w:bCs/>
                <w:color w:val="FFFFFF"/>
              </w:rPr>
              <w:t xml:space="preserve">对策</w:t>
            </w:r>
          </w:p>
        </w:tc>
      </w:tr>
      <w:tr>
        <w:tc>
          <w:tcPr>
            <w:tcW w:type="dxa" w:w="3000"/>
            <w:shd w:fill="FFFFFF" w:val="clear"/>
            <w:tcMar>
              <w:top w:type="dxa" w:w="40"/>
              <w:left w:type="dxa" w:w="80"/>
              <w:bottom w:type="dxa" w:w="40"/>
              <w:right w:type="dxa" w:w="80"/>
            </w:tcMar>
          </w:tcPr>
          <w:p>
            <w:pPr>
              <w:spacing w:after="20" w:before="20" w:line="252"/>
              <w:jc w:val="left"/>
            </w:pPr>
            <w:r>
              <w:t xml:space="preserve">爬产期合法原料不足</w:t>
            </w:r>
          </w:p>
        </w:tc>
        <w:tc>
          <w:tcPr>
            <w:tcW w:type="dxa" w:w="6020"/>
            <w:shd w:fill="FFFFFF" w:val="clear"/>
            <w:tcMar>
              <w:top w:type="dxa" w:w="40"/>
              <w:left w:type="dxa" w:w="80"/>
              <w:bottom w:type="dxa" w:w="40"/>
              <w:right w:type="dxa" w:w="80"/>
            </w:tcMar>
          </w:tcPr>
          <w:p>
            <w:pPr>
              <w:spacing w:after="20" w:before="20" w:line="252"/>
              <w:jc w:val="left"/>
            </w:pPr>
            <w:r>
              <w:t xml:space="preserve">自第8个月起自建收集网络；参与国企招标；与回收组织/进口商按EPR签约；按PIC进口作15–30%储备</w:t>
            </w:r>
          </w:p>
        </w:tc>
      </w:tr>
      <w:tr>
        <w:tc>
          <w:tcPr>
            <w:tcW w:type="dxa" w:w="3000"/>
            <w:shd w:fill="EEF1F8" w:val="clear"/>
            <w:tcMar>
              <w:top w:type="dxa" w:w="40"/>
              <w:left w:type="dxa" w:w="80"/>
              <w:bottom w:type="dxa" w:w="40"/>
              <w:right w:type="dxa" w:w="80"/>
            </w:tcMar>
          </w:tcPr>
          <w:p>
            <w:pPr>
              <w:spacing w:after="20" w:before="20" w:line="252"/>
              <w:jc w:val="left"/>
            </w:pPr>
            <w:r>
              <w:t xml:space="preserve">许可周期长（环评+综合许可证）</w:t>
            </w:r>
          </w:p>
        </w:tc>
        <w:tc>
          <w:tcPr>
            <w:tcW w:type="dxa" w:w="6020"/>
            <w:shd w:fill="EEF1F8" w:val="clear"/>
            <w:tcMar>
              <w:top w:type="dxa" w:w="40"/>
              <w:left w:type="dxa" w:w="80"/>
              <w:bottom w:type="dxa" w:w="40"/>
              <w:right w:type="dxa" w:w="80"/>
            </w:tcMar>
          </w:tcPr>
          <w:p>
            <w:pPr>
              <w:spacing w:after="20" w:before="20" w:line="252"/>
              <w:jc w:val="left"/>
            </w:pPr>
            <w:r>
              <w:t xml:space="preserve">采用合并程序；聘资深环保顾问；尽早与布尔加斯地方环保局沟通</w:t>
            </w:r>
          </w:p>
        </w:tc>
      </w:tr>
      <w:tr>
        <w:tc>
          <w:tcPr>
            <w:tcW w:type="dxa" w:w="3000"/>
            <w:shd w:fill="FFFFFF" w:val="clear"/>
            <w:tcMar>
              <w:top w:type="dxa" w:w="40"/>
              <w:left w:type="dxa" w:w="80"/>
              <w:bottom w:type="dxa" w:w="40"/>
              <w:right w:type="dxa" w:w="80"/>
            </w:tcMar>
          </w:tcPr>
          <w:p>
            <w:pPr>
              <w:spacing w:after="20" w:before="20" w:line="252"/>
              <w:jc w:val="left"/>
            </w:pPr>
            <w:r>
              <w:t xml:space="preserve">再生油价格折价</w:t>
            </w:r>
          </w:p>
        </w:tc>
        <w:tc>
          <w:tcPr>
            <w:tcW w:type="dxa" w:w="6020"/>
            <w:shd w:fill="FFFFFF" w:val="clear"/>
            <w:tcMar>
              <w:top w:type="dxa" w:w="40"/>
              <w:left w:type="dxa" w:w="80"/>
              <w:bottom w:type="dxa" w:w="40"/>
              <w:right w:type="dxa" w:w="80"/>
            </w:tcMar>
          </w:tcPr>
          <w:p>
            <w:pPr>
              <w:spacing w:after="20" w:before="20" w:line="252"/>
              <w:jc w:val="left"/>
            </w:pPr>
            <w:r>
              <w:t xml:space="preserve">质量认证、调和厂认可、主打“低碳”营销</w:t>
            </w:r>
          </w:p>
        </w:tc>
      </w:tr>
      <w:tr>
        <w:tc>
          <w:tcPr>
            <w:tcW w:type="dxa" w:w="3000"/>
            <w:shd w:fill="EEF1F8" w:val="clear"/>
            <w:tcMar>
              <w:top w:type="dxa" w:w="40"/>
              <w:left w:type="dxa" w:w="80"/>
              <w:bottom w:type="dxa" w:w="40"/>
              <w:right w:type="dxa" w:w="80"/>
            </w:tcMar>
          </w:tcPr>
          <w:p>
            <w:pPr>
              <w:spacing w:after="20" w:before="20" w:line="252"/>
              <w:jc w:val="left"/>
            </w:pPr>
            <w:r>
              <w:t xml:space="preserve">中国设备欧盟准入</w:t>
            </w:r>
          </w:p>
        </w:tc>
        <w:tc>
          <w:tcPr>
            <w:tcW w:type="dxa" w:w="6020"/>
            <w:shd w:fill="EEF1F8" w:val="clear"/>
            <w:tcMar>
              <w:top w:type="dxa" w:w="40"/>
              <w:left w:type="dxa" w:w="80"/>
              <w:bottom w:type="dxa" w:w="40"/>
              <w:right w:type="dxa" w:w="80"/>
            </w:tcMar>
          </w:tcPr>
          <w:p>
            <w:pPr>
              <w:spacing w:after="20" w:before="20" w:line="252"/>
              <w:jc w:val="left"/>
            </w:pPr>
            <w:r>
              <w:t xml:space="preserve">部件CE认证、ATEX防爆设计；景津电气用施耐德/西门子/ABB利于认证；发货前审核</w:t>
            </w:r>
          </w:p>
        </w:tc>
      </w:tr>
    </w:tbl>
    <w:p>
      <w:pPr>
        <w:spacing w:after="60"/>
      </w:pPr>
    </w:p>
    <w:p>
      <w:pPr>
        <w:pStyle w:val="Heading2"/>
        <w:spacing w:after="100" w:before="200"/>
      </w:pPr>
      <w:r>
        <w:t xml:space="preserve">9. 结论</w:t>
      </w:r>
    </w:p>
    <w:p>
      <w:pPr>
        <w:pStyle w:val="ListParagraph"/>
        <w:numPr>
          <w:ilvl w:val="0"/>
          <w:numId w:val="2"/>
        </w:numPr>
        <w:spacing w:after="60" w:line="264"/>
        <w:jc w:val="left"/>
      </w:pPr>
      <w:r>
        <w:t xml:space="preserve">保加利亚是欧盟废油II类再生版图上的“空白点”：原料客观存在，合法收集薄弱，无现代II类产能，法规明确鼓励再生。</w:t>
      </w:r>
    </w:p>
    <w:p>
      <w:pPr>
        <w:pStyle w:val="ListParagraph"/>
        <w:numPr>
          <w:ilvl w:val="0"/>
          <w:numId w:val="2"/>
        </w:numPr>
        <w:spacing w:after="60" w:line="264"/>
        <w:jc w:val="left"/>
      </w:pPr>
      <w:r>
        <w:t xml:space="preserve">10 → 20 → 30 千吨/年目标在原料上现实可行；三期30,000吨/年将成为巴尔干欧盟区最大、唯一的现代化II类工厂。</w:t>
      </w:r>
    </w:p>
    <w:p>
      <w:pPr>
        <w:pStyle w:val="ListParagraph"/>
        <w:numPr>
          <w:ilvl w:val="0"/>
          <w:numId w:val="2"/>
        </w:numPr>
        <w:spacing w:after="60" w:line="264"/>
        <w:jc w:val="left"/>
      </w:pPr>
      <w:r>
        <w:t xml:space="preserve">半径800公里内II类基础油结构性短缺；全球趋势（埃克森美孚、Avista、Puralube）验证赛道。</w:t>
      </w:r>
    </w:p>
    <w:p>
      <w:pPr>
        <w:pStyle w:val="ListParagraph"/>
        <w:numPr>
          <w:ilvl w:val="0"/>
          <w:numId w:val="2"/>
        </w:numPr>
        <w:spacing w:after="60" w:line="264"/>
        <w:jc w:val="left"/>
      </w:pPr>
      <w:r>
        <w:t xml:space="preserve">“中国技术 + 景津设备 + 布尔加斯厂址”为最优入市组合，可模块化扩产；进一步扩至“大区间”需以进口枢纽模式另行规划。</w:t>
      </w:r>
    </w:p>
    <w:p>
      <w:pPr>
        <w:pStyle w:val="Heading1"/>
        <w:spacing w:after="120" w:before="260"/>
      </w:pPr>
      <w:r>
        <w:t xml:space="preserve">Источники / 参考来源</w:t>
      </w:r>
    </w:p>
    <w:p>
      <w:pPr>
        <w:spacing w:after="40" w:line="240"/>
      </w:pPr>
      <w:r>
        <w:rPr>
          <w:b/>
          <w:bCs/>
          <w:sz w:val="18"/>
          <w:szCs w:val="18"/>
        </w:rPr>
        <w:t xml:space="preserve">[1] </w:t>
      </w:r>
      <w:r>
        <w:rPr>
          <w:color w:val="404040"/>
          <w:sz w:val="18"/>
          <w:szCs w:val="18"/>
        </w:rPr>
        <w:t xml:space="preserve">Българска асоциация по рециклиране (BAR). https://bar-bg.org/otraboteniote-avtomobilni-masla/</w:t>
      </w:r>
    </w:p>
    <w:p>
      <w:pPr>
        <w:spacing w:after="40" w:line="240"/>
      </w:pPr>
      <w:r>
        <w:rPr>
          <w:b/>
          <w:bCs/>
          <w:sz w:val="18"/>
          <w:szCs w:val="18"/>
        </w:rPr>
        <w:t xml:space="preserve">[2] </w:t>
      </w:r>
      <w:r>
        <w:rPr>
          <w:color w:val="404040"/>
          <w:sz w:val="18"/>
          <w:szCs w:val="18"/>
        </w:rPr>
        <w:t xml:space="preserve">ИАОС / ecology-and-infrastructure.bg — Рециклиране на отработени масла. https://www.ecology-and-infrastructure.bg/bg/reciklirane-na-otraboteni-masla/2/257/</w:t>
      </w:r>
    </w:p>
    <w:p>
      <w:pPr>
        <w:spacing w:after="40" w:line="240"/>
      </w:pPr>
      <w:r>
        <w:rPr>
          <w:b/>
          <w:bCs/>
          <w:sz w:val="18"/>
          <w:szCs w:val="18"/>
        </w:rPr>
        <w:t xml:space="preserve">[3] </w:t>
      </w:r>
      <w:r>
        <w:rPr>
          <w:color w:val="404040"/>
          <w:sz w:val="18"/>
          <w:szCs w:val="18"/>
        </w:rPr>
        <w:t xml:space="preserve">Бизнес каталог — „Полихим-СС“ ЕООД (КР № 440-N2/2024). https://www.biznes-katalog.bg/полихим-сс-фирма2523.html</w:t>
      </w:r>
    </w:p>
    <w:p>
      <w:pPr>
        <w:spacing w:after="40" w:line="240"/>
      </w:pPr>
      <w:r>
        <w:rPr>
          <w:b/>
          <w:bCs/>
          <w:sz w:val="18"/>
          <w:szCs w:val="18"/>
        </w:rPr>
        <w:t xml:space="preserve">[4] </w:t>
      </w:r>
      <w:r>
        <w:rPr>
          <w:color w:val="404040"/>
          <w:sz w:val="18"/>
          <w:szCs w:val="18"/>
        </w:rPr>
        <w:t xml:space="preserve">Данубиум ЕООД (Русе) — публичен прайс. http://danubium.net/otraboteni-masla/</w:t>
      </w:r>
    </w:p>
    <w:p>
      <w:pPr>
        <w:spacing w:after="40" w:line="240"/>
      </w:pPr>
      <w:r>
        <w:rPr>
          <w:b/>
          <w:bCs/>
          <w:sz w:val="18"/>
          <w:szCs w:val="18"/>
        </w:rPr>
        <w:t xml:space="preserve">[5] </w:t>
      </w:r>
      <w:r>
        <w:rPr>
          <w:color w:val="404040"/>
          <w:sz w:val="18"/>
          <w:szCs w:val="18"/>
        </w:rPr>
        <w:t xml:space="preserve">Straits Research — Re-refined Base Oil Market. https://straitsresearch.com/report/re-refined-base-oil-market</w:t>
      </w:r>
    </w:p>
    <w:p>
      <w:pPr>
        <w:spacing w:after="40" w:line="240"/>
      </w:pPr>
      <w:r>
        <w:rPr>
          <w:b/>
          <w:bCs/>
          <w:sz w:val="18"/>
          <w:szCs w:val="18"/>
        </w:rPr>
        <w:t xml:space="preserve">[6] </w:t>
      </w:r>
      <w:r>
        <w:rPr>
          <w:color w:val="404040"/>
          <w:sz w:val="18"/>
          <w:szCs w:val="18"/>
        </w:rPr>
        <w:t xml:space="preserve">ExxonMobil — Europe re-refined Group II base stocks. https://www.exxonmobil.com/en/basestocks/news-insights-and-resources/europe-re-refined-base-stocks</w:t>
      </w:r>
    </w:p>
    <w:p>
      <w:pPr>
        <w:spacing w:after="40" w:line="240"/>
      </w:pPr>
      <w:r>
        <w:rPr>
          <w:b/>
          <w:bCs/>
          <w:sz w:val="18"/>
          <w:szCs w:val="18"/>
        </w:rPr>
        <w:t xml:space="preserve">[7] </w:t>
      </w:r>
      <w:r>
        <w:rPr>
          <w:color w:val="404040"/>
          <w:sz w:val="18"/>
          <w:szCs w:val="18"/>
        </w:rPr>
        <w:t xml:space="preserve">Lubes’N’Greases (EMEA) — Weekly base-oil price report. https://www.lubesngreases.com/bor-emea/</w:t>
      </w:r>
    </w:p>
    <w:p>
      <w:pPr>
        <w:spacing w:after="40" w:line="240"/>
      </w:pPr>
      <w:r>
        <w:rPr>
          <w:b/>
          <w:bCs/>
          <w:sz w:val="18"/>
          <w:szCs w:val="18"/>
        </w:rPr>
        <w:t xml:space="preserve">[8] </w:t>
      </w:r>
      <w:r>
        <w:rPr>
          <w:color w:val="404040"/>
          <w:sz w:val="18"/>
          <w:szCs w:val="18"/>
        </w:rPr>
        <w:t xml:space="preserve">F&amp;L Asia — Turkish used-oil re-refinery (TAYRAŞ). https://www.fuelsandlubes.com/flo-article/turkish-used-oil-re-refinery-celebrates-first-year-of-operation/</w:t>
      </w:r>
    </w:p>
    <w:p>
      <w:pPr>
        <w:spacing w:after="40" w:line="240"/>
      </w:pPr>
      <w:r>
        <w:rPr>
          <w:b/>
          <w:bCs/>
          <w:sz w:val="18"/>
          <w:szCs w:val="18"/>
        </w:rPr>
        <w:t xml:space="preserve">[9] </w:t>
      </w:r>
      <w:r>
        <w:rPr>
          <w:color w:val="404040"/>
          <w:sz w:val="18"/>
          <w:szCs w:val="18"/>
        </w:rPr>
        <w:t xml:space="preserve">LPC (Motor Oil Group) — Used oil management. https://www.lpc.gr/used-oil-management/</w:t>
      </w:r>
    </w:p>
    <w:p>
      <w:pPr>
        <w:spacing w:after="40" w:line="240"/>
      </w:pPr>
      <w:r>
        <w:rPr>
          <w:b/>
          <w:bCs/>
          <w:sz w:val="18"/>
          <w:szCs w:val="18"/>
        </w:rPr>
        <w:t xml:space="preserve">[10] </w:t>
      </w:r>
      <w:r>
        <w:rPr>
          <w:color w:val="404040"/>
          <w:sz w:val="18"/>
          <w:szCs w:val="18"/>
        </w:rPr>
        <w:t xml:space="preserve">МОСВ — Наредба за отработените масла и отпадъчните нефтопродукти. https://www.moew.government.bg/wp-content/uploads/filebase/Waste/Legislation/Naredbi/waste/Naredba_za_otrabotenite_masla_i_otpadycnite_neftoprodukti.pdf</w:t>
      </w:r>
    </w:p>
    <w:p>
      <w:pPr>
        <w:spacing w:after="40" w:line="240"/>
      </w:pPr>
      <w:r>
        <w:rPr>
          <w:b/>
          <w:bCs/>
          <w:sz w:val="18"/>
          <w:szCs w:val="18"/>
        </w:rPr>
        <w:t xml:space="preserve">[11] </w:t>
      </w:r>
      <w:r>
        <w:rPr>
          <w:color w:val="404040"/>
          <w:sz w:val="18"/>
          <w:szCs w:val="18"/>
        </w:rPr>
        <w:t xml:space="preserve">МОСВ — Закон за управление на отпадъците (ЗУО). https://www.moew.government.bg/wp-content/uploads/filebase/Waste/Legislation/Zakoni/ZUO.pdf</w:t>
      </w:r>
    </w:p>
    <w:p>
      <w:pPr>
        <w:spacing w:after="40" w:line="240"/>
      </w:pPr>
      <w:r>
        <w:rPr>
          <w:b/>
          <w:bCs/>
          <w:sz w:val="18"/>
          <w:szCs w:val="18"/>
        </w:rPr>
        <w:t xml:space="preserve">[12] </w:t>
      </w:r>
      <w:r>
        <w:rPr>
          <w:color w:val="404040"/>
          <w:sz w:val="18"/>
          <w:szCs w:val="18"/>
        </w:rPr>
        <w:t xml:space="preserve">EC Environment — Регламент (ЕС) 2024/1157 за превози на отпадъци. https://environment.ec.europa.eu/topics/waste-and-recycling/waste-shipments_en</w:t>
      </w:r>
    </w:p>
    <w:p>
      <w:pPr>
        <w:spacing w:after="40" w:line="240"/>
      </w:pPr>
      <w:r>
        <w:rPr>
          <w:b/>
          <w:bCs/>
          <w:sz w:val="18"/>
          <w:szCs w:val="18"/>
        </w:rPr>
        <w:t xml:space="preserve">[13] </w:t>
      </w:r>
      <w:r>
        <w:rPr>
          <w:color w:val="404040"/>
          <w:sz w:val="18"/>
          <w:szCs w:val="18"/>
        </w:rPr>
        <w:t xml:space="preserve">Мини Марица-изток ЕАД — тендер „изкупуване (продажба) на отработени масла“ (АОП). https://www.aop.bg/</w:t>
      </w:r>
    </w:p>
    <w:p>
      <w:pPr>
        <w:spacing w:after="40" w:line="240"/>
      </w:pPr>
      <w:r>
        <w:rPr>
          <w:b/>
          <w:bCs/>
          <w:sz w:val="18"/>
          <w:szCs w:val="18"/>
        </w:rPr>
        <w:t xml:space="preserve">[14] </w:t>
      </w:r>
      <w:r>
        <w:rPr>
          <w:color w:val="404040"/>
          <w:sz w:val="18"/>
          <w:szCs w:val="18"/>
        </w:rPr>
        <w:t xml:space="preserve">Столичен електротранспорт ЕАД — „Изкупуване на отработено масло на минерална основа“ (2024). http://www.elektrotransportsf.com/</w:t>
      </w:r>
    </w:p>
    <w:p>
      <w:pPr>
        <w:spacing w:after="40" w:line="240"/>
      </w:pPr>
      <w:r>
        <w:rPr>
          <w:b/>
          <w:bCs/>
          <w:sz w:val="18"/>
          <w:szCs w:val="18"/>
        </w:rPr>
        <w:t xml:space="preserve">[15] </w:t>
      </w:r>
      <w:r>
        <w:rPr>
          <w:color w:val="404040"/>
          <w:sz w:val="18"/>
          <w:szCs w:val="18"/>
        </w:rPr>
        <w:t xml:space="preserve">Avista Green (Дания) ~130 хил. т/год — крупнейший единичный завод Европы; GEIR. https://avistagreen.dk/ ; https://www.geir-rerefining.org/</w:t>
      </w:r>
    </w:p>
    <w:p>
      <w:pPr>
        <w:spacing w:after="40" w:line="240"/>
      </w:pPr>
      <w:r>
        <w:rPr>
          <w:b/>
          <w:bCs/>
          <w:sz w:val="18"/>
          <w:szCs w:val="18"/>
        </w:rPr>
        <w:t xml:space="preserve">[16] </w:t>
      </w:r>
      <w:r>
        <w:rPr>
          <w:color w:val="404040"/>
          <w:sz w:val="18"/>
          <w:szCs w:val="18"/>
        </w:rPr>
        <w:t xml:space="preserve">Enviroflex — From Waste to Value: Re-Refining into API Group II Base Oils. https://enviroflex.at/wp-content/uploads/2025/05/Enviroflex-From-Waste-to-Value-Re-Refining-Used-Lubricants-into-API-Group-II-Base-Oils.pdf</w:t>
      </w:r>
    </w:p>
    <w:sectPr>
      <w:pgSz w:w="11906" w:h="16838" w:orient="portrait"/>
      <w:pgMar w:top="1134" w:right="1080" w:bottom="113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3864"/>
      <w:sz w:val="27"/>
      <w:szCs w:val="27"/>
    </w:rPr>
  </w:style>
  <w:style w:type="paragraph" w:styleId="Heading2">
    <w:name w:val="Heading 2"/>
    <w:basedOn w:val="Normal"/>
    <w:next w:val="Normal"/>
    <w:qFormat/>
    <w:rPr>
      <w:b/>
      <w:bCs/>
      <w:color w:val="2E4C7E"/>
      <w:sz w:val="23"/>
      <w:szCs w:val="23"/>
    </w:rPr>
  </w:style>
  <w:style w:type="paragraph" w:styleId="Heading3">
    <w:name w:val="Heading 3"/>
    <w:basedOn w:val="Normal"/>
    <w:next w:val="Normal"/>
    <w:qFormat/>
    <w:rPr>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 завод регенерации Group II, Бургас</dc:title>
  <dc:creator>Проектная группа</dc:creator>
  <cp:lastModifiedBy>Un-named</cp:lastModifiedBy>
  <cp:revision>1</cp:revision>
  <dcterms:created xsi:type="dcterms:W3CDTF">2026-09-19T09:33:52.295Z</dcterms:created>
  <dcterms:modified xsi:type="dcterms:W3CDTF">2026-09-19T09:33:52.296Z</dcterms:modified>
</cp:coreProperties>
</file>

<file path=docProps/custom.xml><?xml version="1.0" encoding="utf-8"?>
<Properties xmlns="http://schemas.openxmlformats.org/officeDocument/2006/custom-properties" xmlns:vt="http://schemas.openxmlformats.org/officeDocument/2006/docPropsVTypes"/>
</file>