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ВОПРОСЫ КИТАЙСКОМУ ПАРТНЁРУ / 致中国合作伙伴的问题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Партнёр — владелец завода в Цзинане (масла, антифризы, присадки), держатель технологии и поставщик ВСЕГО оборудования для регенерации в базовое масло API Group II · Опросный лист для расчёта экономики и подтверждения качества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Роль партнёра (как понимаем — просьба подтвердить). / 合作伙伴角色（请确认）：</w:t>
      </w:r>
      <w:r>
        <w:t xml:space="preserve"> партнёр предоставляет </w:t>
      </w:r>
      <w:r>
        <w:rPr>
          <w:b/>
          <w:bCs/>
        </w:rPr>
        <w:t xml:space="preserve">технологию + весь комплект оборудования</w:t>
      </w:r>
      <w:r>
        <w:t xml:space="preserve"> (фактически «под ключ»), имеет </w:t>
      </w:r>
      <w:r>
        <w:rPr>
          <w:b/>
          <w:bCs/>
        </w:rPr>
        <w:t xml:space="preserve">действующий завод в Цзинане</w:t>
      </w:r>
      <w:r>
        <w:t xml:space="preserve"> и рассматривается как </w:t>
      </w:r>
      <w:r>
        <w:rPr>
          <w:b/>
          <w:bCs/>
        </w:rPr>
        <w:t xml:space="preserve">со-инвестор и покупатель/переработчик продукции (офтейкер)</w:t>
      </w:r>
      <w:r>
        <w:t xml:space="preserve">. Нам нужны его </w:t>
      </w:r>
      <w:r>
        <w:rPr>
          <w:b/>
          <w:bCs/>
        </w:rPr>
        <w:t xml:space="preserve">реальные заводские цифры</w:t>
      </w:r>
      <w:r>
        <w:t xml:space="preserve"> (а не оценки) и </w:t>
      </w:r>
      <w:r>
        <w:rPr>
          <w:b/>
          <w:bCs/>
        </w:rPr>
        <w:t xml:space="preserve">доказательство, что продукт — настоящий Group II по международной классификации, признаваемой в ЕС.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Про «Group II по европейским нормам» — важное уточнение. / 关于“欧盟标准II类”：</w:t>
      </w:r>
      <w:r>
        <w:t xml:space="preserve"> Group II — это </w:t>
      </w:r>
      <w:r>
        <w:rPr>
          <w:b/>
          <w:bCs/>
        </w:rPr>
        <w:t xml:space="preserve">единая международная классификация API 1509</w:t>
      </w:r>
      <w:r>
        <w:t xml:space="preserve"> (насыщенные ≥90 %, сера ≤0,03 %, индекс вязкости 80–120), одинаковая в КНР, ЕС и США; отдельного «европейского Group II» не существует. Риск в другом: чтобы продукт считался Group II </w:t>
      </w:r>
      <w:r>
        <w:rPr>
          <w:b/>
          <w:bCs/>
        </w:rPr>
        <w:t xml:space="preserve">и был продаваем в ЕС</w:t>
      </w:r>
      <w:r>
        <w:t xml:space="preserve">, нужно (1) реально и стабильно попадать во все три параметра </w:t>
      </w:r>
      <w:r>
        <w:rPr>
          <w:b/>
          <w:bCs/>
        </w:rPr>
        <w:t xml:space="preserve">на нашем сырье</w:t>
      </w:r>
      <w:r>
        <w:t xml:space="preserve">, (2) измерять их </w:t>
      </w:r>
      <w:r>
        <w:rPr>
          <w:b/>
          <w:bCs/>
        </w:rPr>
        <w:t xml:space="preserve">признанными методами (ASTM/ISO/EN)</w:t>
      </w:r>
      <w:r>
        <w:t xml:space="preserve">, (3) подтвердить это в </w:t>
      </w:r>
      <w:r>
        <w:rPr>
          <w:b/>
          <w:bCs/>
        </w:rPr>
        <w:t xml:space="preserve">независимой европейской лаборатории</w:t>
      </w:r>
      <w:r>
        <w:t xml:space="preserve">, (4) иметь </w:t>
      </w:r>
      <w:r>
        <w:rPr>
          <w:b/>
          <w:bCs/>
        </w:rPr>
        <w:t xml:space="preserve">полный паспорт + основу REACH</w:t>
      </w:r>
      <w:r>
        <w:t xml:space="preserve">. Раздел 1 именно об этом.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Критический минимум: / 最低必需项：</w:t>
      </w:r>
      <w:r>
        <w:t xml:space="preserve"> 0.2 (форма сделки), </w:t>
      </w:r>
      <w:r>
        <w:rPr>
          <w:b/>
          <w:bCs/>
        </w:rPr>
        <w:t xml:space="preserve">1.1–1.5, 1.8</w:t>
      </w:r>
      <w:r>
        <w:t xml:space="preserve"> (подтверждение Group II: методы, независимая лаборатория, наше сырьё, REACH), 3.2–3.5 (реальные цифры завода), 4.1–4.2 (цена оборудования + CE/ATEX/PED), 5.1 (офтейк).</w:t>
      </w:r>
    </w:p>
    <w:p>
      <w:pPr>
        <w:pStyle w:val="Heading1"/>
        <w:spacing w:after="120" w:before="260"/>
      </w:pPr>
      <w:r>
        <w:t xml:space="preserve">0. Роль партнёра и структура сотрудничества (→ вся сделка)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Подтвердите комплект вашего участия: технология + всё оборудование + (возможно) со-инвестиция + офтейк продукции. Что из этого да/нет?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请确认您的参与范围：技术+全部设备+（可能）共同投资+产品包销。哪些是/否？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Определяет всю модель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Предпочтительная форма: EPC «под ключ» / совместное предприятие (доля) / лицензия + поставка оборудования?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首选形式：EPC总包/合资（股比）/技术许可+设备供货？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Структура проекта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Готовы ли к долевому со-инвестированию? Доля и форма вклада (деньги, оборудование, технология в капитал)?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是否愿意股权共投？股比与出资形式（现金、设备、技术入股）？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Финансирование / CAPEX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0.4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Эксклюзив/приоритет на рынок Болгарии и Балкан для нашего СП?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我方合资公司在保加利亚及巴尔干市场的独家/优先权？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Стратегия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1. ПОДТВЕРЖДЕНИЕ, что это настоящий Group II (признаваемый в ЕС) (→ выручка, допуск на рынок)</w:t>
      </w:r>
    </w:p>
    <w:p>
      <w:pPr>
        <w:spacing w:after="120" w:line="276"/>
        <w:jc w:val="both"/>
      </w:pPr>
      <w:r>
        <w:rPr>
          <w:b/>
          <w:bCs/>
        </w:rPr>
        <w:t xml:space="preserve">Ключевой раздел.</w:t>
      </w:r>
      <w:r>
        <w:t xml:space="preserve"> Цель — доказать, что продукт реально и стабильно соответствует API Group II по признанным методам и продаваем в ЕС. Просьба помечать: «факт по заводу / гарантия / оценка».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По какой классификации заявляете Group II и какими методами измеряете параметры — ASTM/ISO/EN или китайские GB/T? Укажите метод по каждому параметру.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依据何种分类声明II类，用何方法测定——ASTM/ISO/EN 还是中国GB/T？请注明每个参数的方法。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Сопоставимость с ЕС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Гарантированные значения трёх определяющих параметров с методом: насыщенные ≥90 % (ASTM D2007/D7419), сера ≤0,03 %/300 ppm (D2622/D5453), индекс вязкости 80–120 (D2270).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II类三项判定参数保证值及方法：饱和烃≥90%、硫≤0.03%/300ppm、粘度指数80–120。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Классификация Group II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Полный паспорт по каждой марке (70N/100N/150N/500N): вязкость 40/100 °C, VI, испаряемость Noack (D5800), t вспышки, t застывания, цвет (D1500), CCS, сера, насыщенные, ароматика.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各牌号完整质量单：40/100°C粘度、粘度指数、Noack蒸发、闪点、倾点、色度、CCS、硫、饱和烃、芳烃。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Пригодность к блендингу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1.4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Дадите ли образцы продукта вашего завода для НЕЗАВИСИМОГО анализа в аккредитованной европейской лаборатории (SGS/Intertek/Bureau Veritas) за наш счёт — ДО контракта?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能否在签约前提供贵厂产品样品，由我方付费送欧盟认可实验室（SGS/Intertek/BV）独立检测？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Доказательство (критично)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1.5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Гарантия Group II именно на НАШЕМ (балканском, смешанном) сырье — через пилотный прогон и подтверждение независимой лабораторией; штрафы (LD) при недостижении.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保证在我方（巴尔干、混合）原料上达到II类——经中试并由独立实验室确认；未达标附违约金。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Выручка + банкуемость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1.6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Как схема СТАБИЛЬНО даёт насыщенные &gt;90 % и серу &lt;0,03 %: нужен ли узел гидрооблагораживания, или адсорбционная доочистка это гарантирует? (Без гидроочистки часто выходит Group I / «близко к II».)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工艺如何稳定保证饱和烃&gt;90%、硫&lt;0.03%：是否需加氢，还是吸附精制即可？（不加氢常为I类/接近II类。）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+ качество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1.7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Разброс параметров от партии к партии (статистика вашего завода) — стабильность качества.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批次间参数波动（贵厂统计）——质量稳定性。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Риск качества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1.8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REACH: базовое масло — регистрируемое в ЕС вещество. Есть ли основа для REACH (совпадение с зарегистрированным «rerefined base oil»)? Без этого продукт нельзя продавать в ЕС.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REACH：基础油在欧盟须注册。是否具备REACH基础（与已注册“再生基础油”一致）？否则不能在欧盟销售。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Допуск на рынок ЕС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1.9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Приёмочный/гарантийный тест при пуске: подтверждение Group II независимой лабораторией как условие приёмки установки и оплаты.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开车性能保证测试：以独立实验室确认II类作为设备验收与付款条件。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Приёмка / оплата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2. Технология и лицензия (→ CAPEX, OPEX)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Это та же технология, что работает на вашем заводе в Цзинане? Если модифицирована — в чём отличие?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这是否为贵司济南工厂在用的同一技术？若有改动，区别何在？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Достоверность данных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Условия лицензии/роялти за ноу-хау: разовая сумма, платёж за тонну, доля в прибыли?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专有技术许可/提成：一次性、按吨、利润分成？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/ OPEX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Катализаторы/адсорбенты — ваша эксклюзивная поставка или свободный рынок? Цена, расход, ресурс.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催化剂/吸附剂——贵司专供还是市场自采？价格、消耗、寿命。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OPEX (расходники)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3. Ваш действующий завод в Цзинане: РЕАЛЬНЫЕ показатели (→ вся экономика)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Мощность, год пуска, наработка; какие марки базового масла и объёмы фактически выпускаете?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产能、投产年份、运行时长；实际生产的基础油牌号与产量？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Референс / доверие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ФАКТИЧЕСКИЙ выход базового масла (% масс.) и материальный баланс (масло/газойль/битум/потери).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实际基础油收率（质量%）与物料平衡（油/瓦斯油/沥青/损耗）。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Выручка (главный драйвер)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ФАКТИЧЕСКИЙ удельный расход: электроэнергия (кВт·ч/т), топливо/тепло (вид и /т), адсорбент (кг/т), химикаты, вода.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实际单耗：电（度/吨）、燃料/热、吸附剂（公斤/吨）、化学品、水。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OPEX (энергия, расходники)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3.4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ФАКТИЧЕСКИЙ штат на аналогичную мощность (операторов в смену, число смен, квалификация).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相近产能实际人员配置（每班操作工、班次、资质）。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OPEX (персонал)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3.5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ФАКТИЧЕСКИЕ затраты на ТОиР (% в год) и ресурс ключевых узлов.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实际维护成本（年%）与关键部件寿命。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OPEX (ТОиР)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3.6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Возможен ли аудит/визит на завод в Цзинане с нашим инженером и отбором проб продукта на анализ?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能否安排我方工程师赴济南工厂审核并取样化验？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Верификация (критично)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4. Комплект оборудования «под ключ» + соответствие ЕС (→ CAPEX, допуск)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Цена комплекта оборудования (EXW/FOB) ОТДЕЛЬНО для 10/20/30 тыс. т/год; границы поставки (что входит/не входит).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成套设备价（EXW/FOB）分别针对1万/2万/3万吨/年；供货界区（含/不含项）。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(главная неизвестная)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Соответствие оборудования нормам ЕС: CE, ATEX (взрывозащита), PED (сосуды под давлением), EN 10204 — включено или дорабатываем мы; стоимость?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设备欧盟合规：CE、ATEX、承压设备PED、EN 10204——是否包含或由我方补足；费用？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+ допуск в ЕС (критично)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Доставка (базис, объём/вес, упаковка), монтаж/шефмонтаж (человеко-дни, ставки); кто выполняет СМР и фундаменты?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交货（基准、体积/重量、包装）、安装/监理（人·天、费率）；土建与基础谁承担？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/ график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4.4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Пакет ЗИП (пуск + 2 года); гарантийный срок и готовность (uptime); наличие/срок ЗИП в Европе, удалённая поддержка.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备件包（开车+2年）；质保期与可用率；欧洲备件供应与远程支持。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/ OPEX / риск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4.5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Инжиниринг (PFD, P&amp;ID, ГЧ, датащиты) и язык; что рекомендуете закупать локально в ЕС (резервуары, металлоконструкции, электрика)?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工程包（PFD/P&amp;ID/总图/数据表）与语言；建议欧盟本地采购哪些（储罐、钢构、电气）？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Проектирование / CAPEX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4.6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Данные по выбросам/стокам установки под болгарскую ОВОС + КР (IED/BAT); есть ли опыт поставки/пуска в ЕС? Референции.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装置排放/废水数据用于保加利亚环评+综合许可证（IED/BAT）；是否有欧盟供货/开车经验？业绩。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Разрешения ЕС / риск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5. Продукт, сбыт, синергия (→ выручка)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Готовы ли покупать наше базовое масло Group II на свой блендинг (офтейк)? Объём, цена, формула.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是否愿采购我方II类基础油用于调合（包销）？量、价、公式。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Гарантия сбыта / выручка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Поставите ли пакеты присадок для выпуска готовых масел/антифризов на нашей площадке?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是否为我方现场生产成品油/防冻液供应添加剂包？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Синергия / доп. продукт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Интересно ли совместно выпускать готовую продукцию (масла, антифризы) на Балканах, а не только базовое масло?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是否有意在巴尔干联合生产成品，而不仅是基础油？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Стратегия / маржа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6. Коммерция, финансирование, обучение, сроки, гарантии (→ график/финансы)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20"/>
        <w:gridCol w:w="4700"/>
        <w:gridCol w:w="1760"/>
        <w:gridCol w:w="20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Вопрос (RU) / 问题 (中文)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Зачем нужен ответ</w:t>
            </w:r>
          </w:p>
        </w:tc>
        <w:tc>
          <w:tcPr>
            <w:tcW w:type="dxa" w:w="20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Ответ / 答复</w:t>
            </w: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6.1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Вклад в CAPEX/финансирование: со-инвестиция, товарный кредит, китайское экспортное финансирование (Sinosure), рассрочка?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对投资/融资的贡献：共投、供方信贷、中国出口信用（中信保）、分期？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Структура финансирования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6.2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Условия оплаты (аванс %, привязка к этапам, удержание).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付款条件（预付%、里程碑、质保金）。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Оборотный капитал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6.3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Обучение наших операторов на вашем заводе в Цзинане: длительность, стоимость, язык.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在贵司济南工厂培训我方操作工：时长、费用、语言。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/ пуск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6.4</w:t>
            </w:r>
          </w:p>
        </w:tc>
        <w:tc>
          <w:tcPr>
            <w:tcW w:type="dxa" w:w="4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Срок изготовления/поставки/монтажа/пуска по этапам (10/20/30 тыс. т/год).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分阶段制造/供货/安装/开车周期（1万/2万/3万吨/年）。</w:t>
            </w:r>
          </w:p>
        </w:tc>
        <w:tc>
          <w:tcPr>
            <w:tcW w:type="dxa" w:w="176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График проекта</w:t>
            </w:r>
          </w:p>
        </w:tc>
        <w:tc>
          <w:tcPr>
            <w:tcW w:type="dxa" w:w="204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6.5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52"/>
            </w:pPr>
            <w:r>
              <w:t xml:space="preserve">Гарантии показателей (выход, качество Group II, удельные расходы, готовность) с LD; гарантийный срок.</w:t>
            </w:r>
          </w:p>
          <w:p>
            <w:pPr>
              <w:spacing w:after="0" w:line="240"/>
            </w:pPr>
            <w:r>
              <w:rPr>
                <w:color w:val="8A5A00"/>
                <w:sz w:val="18"/>
                <w:szCs w:val="18"/>
              </w:rPr>
              <w:t xml:space="preserve">性能保证（收率、II类质量、单耗、可用率）附违约金；质保期。</w:t>
            </w:r>
          </w:p>
        </w:tc>
        <w:tc>
          <w:tcPr>
            <w:tcW w:type="dxa" w:w="1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Банкуемость / риск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Как ответы превращаются в модель / 答复如何转化为模型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Выручка</w:t>
      </w:r>
      <w:r>
        <w:t xml:space="preserve"> = фактический выход (3.2) × цена Group II — при ПОДТВЕРЖДЁННОМ качестве (раздел 1) + побочные; офтейк (5.1) гарантирует сбыт.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CAPEX</w:t>
      </w:r>
      <w:r>
        <w:t xml:space="preserve"> = оборудование «под ключ» (4.1) + доработка до норм ЕС/CE/ATEX/PED (4.2) + гидроблок при необходимости (1.6) + лицензия (2.2).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OPEX</w:t>
      </w:r>
      <w:r>
        <w:t xml:space="preserve"> = сырьё + реальные удельные расходы завода: энергия (3.3), адсорбент/катализатор (2.3, 3.3), персонал (3.4), ТОиР (3.5).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Допуск на рынок ЕС</w:t>
      </w:r>
      <w:r>
        <w:t xml:space="preserve"> = подтверждённый Group II (1.1–1.5) + REACH (1.8) + паспорт (1.3). Без этого продукт нельзя продать в ЕС независимо от «китайского» ярлыка Group II.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t xml:space="preserve">Порядок действий по качеству: (1) паспорт и методы (1.1–1.3) → (2) независимый анализ образцов из Цзиня в лаборатории ЕС ДО контракта (1.4) → (3) пилот на нашем сырье + подтверждение (1.5) → (4) гарантийный тест при пуске как условие приёмки (1.9). / 质量路径：质量单与方法 → 签约前欧盟实验室独立检测济南样品 → 我方原料中试确认 → 开车性能保证测试作为验收条件。</w:t>
      </w:r>
    </w:p>
    <w:p>
      <w:pPr>
        <w:spacing w:after="60"/>
      </w:pP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Дата: сентябрь 2026 г. По каждому числу просьба помечать: «факт по заводу / гарантия / оценка» и валюту. / 请对每个数值注明：实测/保证/估算，及币种。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китайскому партнёру (технология + оборудование Group II)</dc:title>
  <dc:creator>Проектная группа</dc:creator>
  <cp:lastModifiedBy>Un-named</cp:lastModifiedBy>
  <cp:revision>1</cp:revision>
  <dcterms:created xsi:type="dcterms:W3CDTF">2026-09-19T09:33:29.591Z</dcterms:created>
  <dcterms:modified xsi:type="dcterms:W3CDTF">2026-09-19T09:33:29.597Z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