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ПРОВЕРКА ФАКТОВ (ФАКТЧЕК)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Независимая перепроверка всех ключевых цифр и утверждений пакета документов · Ничего не принято на веру · Дата проверки: сентябрь 2026 г.</w:t>
      </w:r>
    </w:p>
    <w:p>
      <w:pPr>
        <w:spacing w:after="120" w:line="276"/>
        <w:jc w:val="both"/>
      </w:pPr>
      <w:r>
        <w:rPr>
          <w:b/>
          <w:bCs/>
        </w:rPr>
        <w:t xml:space="preserve">Как читать.</w:t>
      </w:r>
      <w:r>
        <w:t xml:space="preserve"> Каждое утверждение из документов перепроверено по независимым публичным источникам. Статусы: </w:t>
      </w:r>
      <w:r>
        <w:rPr>
          <w:b/>
          <w:bCs/>
        </w:rPr>
        <w:t xml:space="preserve">«Подтверждено»</w:t>
      </w:r>
      <w:r>
        <w:t xml:space="preserve"> — независимо подтверждено; </w:t>
      </w:r>
      <w:r>
        <w:rPr>
          <w:b/>
          <w:bCs/>
        </w:rPr>
        <w:t xml:space="preserve">«ИСПРАВЛЕНО»</w:t>
      </w:r>
      <w:r>
        <w:t xml:space="preserve"> — в документах была ошибка, исправлено; </w:t>
      </w:r>
      <w:r>
        <w:rPr>
          <w:b/>
          <w:bCs/>
        </w:rPr>
        <w:t xml:space="preserve">«Частично»</w:t>
      </w:r>
      <w:r>
        <w:t xml:space="preserve"> — подтверждается частично / один источник / оценка; </w:t>
      </w:r>
      <w:r>
        <w:rPr>
          <w:b/>
          <w:bCs/>
        </w:rPr>
        <w:t xml:space="preserve">«Нет данных»</w:t>
      </w:r>
      <w:r>
        <w:t xml:space="preserve"> — публично проверяемых данных нет, цифра не выдумывается. Где данных нет — так и написано.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Главный вывод фактчека.</w:t>
      </w:r>
      <w:r>
        <w:t xml:space="preserve"> Load-bearing факты (действующие заводы региона, конкуренты, законодательство, механизм госзакупок сырья) — подтвердились. Найдено и исправлено 4 фактические неточности (Турция: доли смешения; «крупнейший завод Европы»; мощность LPC; устаревшие цены Group II). Ряд отраслевых оценок (образование/сбор масла, размер рынка) по природе своей — диапазоны из вторичных источников; помечены как «Частично». Стоимость строительства сопоставимых заводов публично не раскрыта — «Нет данных».</w:t>
      </w:r>
    </w:p>
    <w:p>
      <w:pPr>
        <w:pStyle w:val="Heading1"/>
        <w:spacing w:after="120" w:before="260"/>
      </w:pPr>
      <w:r>
        <w:t xml:space="preserve">1. Действующие заводы и компании региона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 из документов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 (источник)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TAYRAŞ (Турция): Османели/Биледжик, 60 000 т/год сырья → 45 000 т/год Group II, технология Sequoia (США), пуск ~2021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tayras.com, F&amp;L Asia, Lubes’N’Greases, lubricant-world. Основана 2011, стройка 2018–2021, поставщик технологии Sequoia Global Inc. (США), объявлена стратегической инвестицией.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«Полихим-СС» (Луковит): один из двух регенераторов Болгарии, КР ИАОС № 440-N2/2024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lukovit.bg (общественный доступ к проекту КР), biznes-katalog.bg. Разрешения РИОСВ-Плевен 2007/2010/2011; комплексно разрешително 440-N2/2024 в 2024 г.; один из двух в стране.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LPC (Греция, Аспропиргос): ~38 тыс. т/год регенерации, Group I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ИСПРАВЛЕНО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Уточнено: независимо подтверждается общая мощность по смазкам ~43 тыс. т/год (Lubes’N’Greases plant data). Отдельная цифра именно регенерации в источниках однозначно не зафиксирована → в документах смягчено до «~40 тыс. (мощность по смазкам ~43 тыс.), Group I».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Avista Green (Дания) — «крупнейший единичный завод Европы, ~130 тыс. т/год»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ИСПРАВЛЕНО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Ошибка. Факт: Avista Green (Калуннборг) ~100 000 т/год (WMW, Slicker, F&amp;L). Крупнейший единичный завод Европы — Eco Huile (Лиллебонн, Франция) ~125 тыс. т/год. Исправлено в документах.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Eco Huile (Франция) ~125 тыс. т/год = 50 % сбора Франции; контракт с ExxonMobil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ExxonMobil, F&amp;L Asia, Lubes’N’Greases. Eco Huile (группа Aurea, Лиллебонн, Нормандия) — 125 000 т/год ≈ 50 % собираемого во Франции; долгосрочный договор на предочищенное сырьё; проект ExxonMobil Гравеншон+Роттердам, старт H2 2025.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Румыния: Green Oil and Lubes (Олтеница) ~66 тыс. т/год, проект, без подтверждённого пуска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Источник — досье ОВОС mmediu.ro (Румыния). В этом проходе повторно не верифицировал пуск. Статус в документах («согласованный проект/строительство, ввод не подтверждён») корректен и осторожен.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2. Государственные предприятия как источник сырья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Госпредприятия сдают отработанное масло через публичные тендеры на продажу (ЗОП)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 механизмом и примерами (АОП/ЦАИС ЕОП, сайты предприятий).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«Мини Марица-изток» ЕАД — тендер на продажу ~80 т отработанных масел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процедура «изкупуване (продажба) на отработени масла», ~80 т (нехлорированные минеральные моторные/смазочные/редукторные). АОП/marica-iztok.com.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«Столичен електротранспорт» ЕАД — тендер «Изкупуване на отработено масло на минерална основа» (2024)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elektrotransportsf.com, график ОП 2024–2025.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«Асарел-Медет» — «Избор на купувач на отработени масла»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asarel.com (карточка процедуры в выдаче).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Крупнейшие госгенераторы: Мини Марица-изток, ТЕЦ Марица изток 2, АЕЦ Козлодуй, БДЖ и др.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Статус госпредприятий и профиль масел — общеизвестны/подтверждаются профилями компаний. Конкретные годовые объёмы их отработанного масла публично не раскрыты → «Нет данных» по точным тоннам.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3. Объёмы: образование, сбор, потребление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Болгария: официально собирается ~11,5 тыс. т/год (BAR)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Первоисточник — сайт BAR (bar-bg.org). Независимо подтвердить точную цифру не удалось (домены bar-bg.org и профильная пресса заблокированы прокси в этой сессии). Считать «оценкой отраслевой ассоциации», а не официальной статистикой. Нет независимого подтверждения точного числа.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ИАОС: 13 569 т оползотворено, 12 310 т регенерацией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Похоже на данные за ~2013 г. (в исходных материалах год указывался непоследовательно). Не перепроверено к текущему году → трактовать как иллюстрацию порядка, не как актуальную цифру.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Образование в Болгарии 35–50 тыс. т/год; потребление смазок 70–90 тыс. т/год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Оценка. Косвенно поддержана: рынок автосмазок Болгарии ~29,8 млн л (2025), ~30,7 млн л (2026) (Mordor Intelligence) ≈ ~27 тыс. т только автосмазок. Итог 70–90 тыс. т — с учётом индустриальных, вероятно верхняя граница; корректнее «~50–90 тыс. т». Диапазон, не точная цифра.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Сербия: 40 311 т на рынке (2023), переработано лишь 440 т, вывезено 1 660 т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Balkan Green Energy News по данным SEPA. Регенерации в Сербии сейчас нет.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Сев. Македония: EKO-FLUID ~700 т/год; образование ~3 580 т/год; сжигание на «Усье»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Сжигание отходов (вкл. масла) на цементном «Усье» — подтверждено (Global Energy Monitor, China-CEE). Цифры 700 т и 3 580 т — из ekofluid.mk и старого исследования; независимо в этом проходе не подтверждены.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Турция: потребление смазок ~580 тыс. т; образование ~300 тыс. т; сбор/регенерация растут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Порядок подтверждается отраслевой прессой (Lubes’N’Greases). Точные годовые цифры разнятся по источникам → диапазон.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4. Рынок сбыта и цены Group II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Мировой рынок регенерата ~2,47 млрд $ → 4,2 млрд $ (2034), CAGR ~6 %; Group II — крупнейший/быстрейший (7,7 %)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Одноисточниково (Straits Research). Другие агентства: ~2,2 млрд $ (2023) → ~3,7–3,9 млрд $ (2032–2033), CAGR ~6 %. Направление (Group II — крупнейший сегмент) подтверждается несколькими источниками; точные 2,47/4,2/7,7 — не консенсус.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Цены Group II (EMEA): 150N ~1 075–1 110 €/т и т.д.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ИСПРАВЛЕНО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Устарело. Актуально (Lubes’N’Greases EMEA): нач. 2026 г. 150N ~1 545–1 575 €/т, весенние пики до ~2 000 €/т; при этом США кон. 2025 г. 220N ~650–675 $/т. Рынок волатилен. Обновлено; принятая в модели цена 850–950 €/т — консервативна (запас вверх).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Европа: суммарная регенерационная мощность ~877 тыс. т/год, в основном Group I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Marc Verfürth, CEO Avista Oil AG.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Регенерация потребляет на ~50 % меньше энергии, чем производство из нефти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Формулировка «до ~50 %» встречается в отраслевых источниках (GEIR/ExxonMobil), но точная величина зависит от технологии и границ расчёта. Смягчено до «до ~50 %».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Group II — самый предпочтительный сегмент (низкая сера, для 5W-30/0W-20 и т.п.)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Group II доминировал в сегменте регенерата (~37 % доли в 2024, Straits) — качественное утверждение верно.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5. Технология и оборудование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JingJin Equipment — Дэчжоу/Шаньдун, код акции 603279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Подтверждено: SSE (Шанхай) 603279; MarketScreener/TradingView/Bloomberg. Основана 1988, до 2021 — Jingjin Environmental Protection; профиль — фильтр-прессы и оборудование фильтрации.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«Вакуумная дистилляция + адсорбционная полировка» даёт API Group II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ИСПРАВЛЕНО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Существенное уточнение. Полноценный Group II в мировой практике обычно требует финишного ГИДРООБЛАГОРАЖИВАНИЯ (как TAYRAŞ: Sequoia + водород). Без гидроочистки продукт чаще уровня Group I / «близкий к Group II». В документы добавлено честное примечание и требование к партнёру подтвердить Group II на пилоте/FAT.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MVR-очистка стоков &lt; 70 кВт·ч/т воды; E-House; компоненты Schneider/Siemens/ABB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Это типовые характеристики оборудования такого класса (в т.ч. из маркетинга JingJin). Конкретные параметры под наш проект — только по спецификации/КП поставщика. Нет данных для независимого подтверждения именно наших цифр.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6. Законодательство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1300"/>
        <w:gridCol w:w="43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Утверждение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Независимая проверка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Турция: обязательное смешение регенерата 8 %→12 %→15 %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ИСПРАВЛЕНО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Ошибка. Факт (Lubes’N’Greases «Turkey Ramps Up Rerefined Oil Mandates»): доля регенерата в готовых смазках и обязательства сбора — 2 % (2023) → 4 % (2024) → 6 % (2025). Исправлено.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Болгария: ЗУО (разрешение чл. 67, срок до 2 мес.); Наредба за отработените масла (EPR, продуктова такса); ЗООС гл. 6/7 (ОВОС+КР), совмещённая процедура с 2019 г.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Структура и логика соответствуют болгарскому праву и подтверждаются МОСВ/lukovit.bg (прецедент Полихим-СС проходил ОВОС+доклад за безопасност). Точные сроки — по нормативу и практике; финально уточняются с РИОСВ-Бургас.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Регламент (ЕС) 2024/1157 — импорт опасных отходов по PIC, основные положения с 21.05.2026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Частично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Регламент реален и заменяет 1013/2006; конкретную дату применения (~21.05.2026) в этом проходе повторно не сверял по первоисточнику EUR-Lex. Общеизвестный акт ЕС; трактовать дату как «ориентировочно 2026 г., уточнить по EUR-Lex».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Директивы 2008/98/EC (иерархия, приоритет регенерации) и 2010/75/EU (IPPC/BAT)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</w:rPr>
              <w:t xml:space="preserve">Подтверждено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Общеизвестные действующие акты ЕС; приоритет регенерации и требование IPPC для установок &gt; 10 т/сутки — верно.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7. Чего нет в открытых данных (честно: «Нет данных»)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Нет данных:</w:t>
      </w:r>
      <w:r>
        <w:t xml:space="preserve"> стоимость строительства сопоставимых заводов (TAYRAŞ, Avista Green Kalundborg) — публично НЕ раскрыта. У TAYRAŞ фигурирует $40 млн — это налоговый вклад за 2023 г., а не CAPEX.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Нет данных:</w:t>
      </w:r>
      <w:r>
        <w:t xml:space="preserve"> точная цена комплекта оборудования JingJin под 10–30 тыс. т/год — нет публичной цифры; нужна коммерческая оферта (КП) поставщика. Оценки CAPEX в документе экономики — отраслевые аналогии, не котировки.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Нет данных:</w:t>
      </w:r>
      <w:r>
        <w:t xml:space="preserve"> годовые объёмы отработанного масла конкретных болгарских госпредприятий — публично не раскрыты (кроме отдельных тендерных лотов).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Частично:</w:t>
      </w:r>
      <w:r>
        <w:t xml:space="preserve"> цены выкупа отработанного масла в Болгарии (Данубиум 0,13 €/л; alo.bg/bazar.bg 0,25–0,40 €/л) — из публичных прайсов и объявлений (видны в поиске), но это не официальная статистика; трактовать как рыночный ориентир.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Частично:</w:t>
      </w:r>
      <w:r>
        <w:t xml:space="preserve"> «Лукойл Нефтохим Бургас — крупнейший НПЗ Балкан» — широко цитируется, в этом проходе первоисточником не сверял.</w:t>
      </w:r>
    </w:p>
    <w:p>
      <w:pPr>
        <w:pStyle w:val="Heading1"/>
        <w:spacing w:after="120" w:before="260"/>
      </w:pPr>
      <w:r>
        <w:t xml:space="preserve">8. Итог фактчека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Исправлено 4 неточности</w:t>
      </w:r>
      <w:r>
        <w:t xml:space="preserve"> (Турция 8/12/15 % → 2/4/6 %; «крупнейший завод Европы» Avista→Eco Huile; мощность LPC; устаревшие цены Group II) и </w:t>
      </w:r>
      <w:r>
        <w:rPr>
          <w:b/>
          <w:bCs/>
        </w:rPr>
        <w:t xml:space="preserve">1 важное техническое уточнение</w:t>
      </w:r>
      <w:r>
        <w:t xml:space="preserve"> (Group II обычно требует гидроочистки).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Подтверждено независимо:</w:t>
      </w:r>
      <w:r>
        <w:t xml:space="preserve"> TAYRAŞ, Eco Huile/ExxonMobil, Полихим-СС + КР 440-N2/2024, Сербия 40 311/440, Европа 877 тыс. т/год, Турция EPR 2/4/6 %, JingJin 603279, механизм госзакупок сырья и его примеры.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Осталось «оценкой/одним источником»:</w:t>
      </w:r>
      <w:r>
        <w:t xml:space="preserve"> объёмы образования/сбора масла (BAR/ИАОС), размер мирового рынка регенерата, цифры С. Македонии. Не выдуманы — помечены как оценки.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«Нет данных»:</w:t>
      </w:r>
      <w:r>
        <w:t xml:space="preserve"> CAPEX сопоставимых заводов и точная цена оборудования JingJin — требуется КП и ТЭО.</w:t>
      </w:r>
    </w:p>
    <w:p>
      <w:pPr>
        <w:pStyle w:val="Heading1"/>
        <w:spacing w:after="120" w:before="260"/>
      </w:pPr>
      <w:r>
        <w:t xml:space="preserve">Проверенные источники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[1] </w:t>
      </w:r>
      <w:r>
        <w:rPr>
          <w:color w:val="404040"/>
          <w:sz w:val="18"/>
          <w:szCs w:val="18"/>
        </w:rPr>
        <w:t xml:space="preserve">tayras.com (About/Process); F&amp;L Asia; Lubes’N’Greases «Turkey Gains Group II»; lubricant-world.com.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[2] </w:t>
      </w:r>
      <w:r>
        <w:rPr>
          <w:color w:val="404040"/>
          <w:sz w:val="18"/>
          <w:szCs w:val="18"/>
        </w:rPr>
        <w:t xml:space="preserve">ExxonMobil — Europe re-refined base stocks; F&amp;L Asia (Gravenchon); Lubes’N’Greases (Exxon/Eco Huile).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[3] </w:t>
      </w:r>
      <w:r>
        <w:rPr>
          <w:color w:val="404040"/>
          <w:sz w:val="18"/>
          <w:szCs w:val="18"/>
        </w:rPr>
        <w:t xml:space="preserve">Balkan Green Energy News — Serbia waste motor oil (SEPA, 40 311/440/1 660).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[4] </w:t>
      </w:r>
      <w:r>
        <w:rPr>
          <w:color w:val="404040"/>
          <w:sz w:val="18"/>
          <w:szCs w:val="18"/>
        </w:rPr>
        <w:t xml:space="preserve">lukovit.bg — обществен достъп до КР на «Полихим-СС»; biznes-katalog.bg.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[5] </w:t>
      </w:r>
      <w:r>
        <w:rPr>
          <w:color w:val="404040"/>
          <w:sz w:val="18"/>
          <w:szCs w:val="18"/>
        </w:rPr>
        <w:t xml:space="preserve">Lubes’N’Greases — «Europe re-refining capacity 877,000 t/y» (CEO Avista Oil); EMEA base-oil price reports 2026; «Turkey Ramps Up Rerefined Oil Mandates».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[6] </w:t>
      </w:r>
      <w:r>
        <w:rPr>
          <w:color w:val="404040"/>
          <w:sz w:val="18"/>
          <w:szCs w:val="18"/>
        </w:rPr>
        <w:t xml:space="preserve">Waste-Management-World; Slicker Recycling; F&amp;L Asia — Avista Green Kalundborg 100 000 TPA.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[7] </w:t>
      </w:r>
      <w:r>
        <w:rPr>
          <w:color w:val="404040"/>
          <w:sz w:val="18"/>
          <w:szCs w:val="18"/>
        </w:rPr>
        <w:t xml:space="preserve">MarketScreener / TradingView / Bloomberg — Jingjin Equipment 603279 (SSE).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[8] </w:t>
      </w:r>
      <w:r>
        <w:rPr>
          <w:color w:val="404040"/>
          <w:sz w:val="18"/>
          <w:szCs w:val="18"/>
        </w:rPr>
        <w:t xml:space="preserve">Mordor Intelligence — Bulgaria Automotive Lubricants Market (~29,8 млн л 2025).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[9] </w:t>
      </w:r>
      <w:r>
        <w:rPr>
          <w:color w:val="404040"/>
          <w:sz w:val="18"/>
          <w:szCs w:val="18"/>
        </w:rPr>
        <w:t xml:space="preserve">Straits Research — Re-Refined Base Oil Market; прочие агентства (для сверки размеров рынка).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[10] </w:t>
      </w:r>
      <w:r>
        <w:rPr>
          <w:color w:val="404040"/>
          <w:sz w:val="18"/>
          <w:szCs w:val="18"/>
        </w:rPr>
        <w:t xml:space="preserve">Global Energy Monitor / China-CEE Institute — Usje cement plant waste burning (Сев. Македония).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[11] </w:t>
      </w:r>
      <w:r>
        <w:rPr>
          <w:color w:val="404040"/>
          <w:sz w:val="18"/>
          <w:szCs w:val="18"/>
        </w:rPr>
        <w:t xml:space="preserve">АОП / ЦАИС ЕОП — регистр обществени поръчки; marica-iztok.com; elektrotransportsf.com; asarel.com.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фактов — независимый фактчек проекта</dc:title>
  <dc:creator>Проектная группа</dc:creator>
  <cp:lastModifiedBy>Un-named</cp:lastModifiedBy>
  <cp:revision>1</cp:revision>
  <dcterms:created xsi:type="dcterms:W3CDTF">2026-09-03T16:02:46.911Z</dcterms:created>
  <dcterms:modified xsi:type="dcterms:W3CDTF">2026-09-03T16:02:46.911Z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