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ЭКОНОМИКА, РЫНОК И ИСТОЧНИКИ СЫРЬЯ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Окупаемость и инвестиции для этапа 1 (10 000 т/год) · TAM / SAM / SOM · Карта всех источников сырья в регионе · Сентябрь 2026 г.</w:t>
      </w: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Дисклеймер (важно).</w:t>
      </w:r>
      <w:r>
        <w:t xml:space="preserve"> Все денежные величины ниже — оценки на основе отраслевых аналогий и открытых данных, а НЕ котировки. Точную стоимость оборудования даёт коммерческое предложение (КП) JingJin; точную экономику — ТЭО с материально-энергетическим балансом на реальном сырье. Где публичных данных нет — прямо написано «нет данных». Цифры даны диапазонами и с допущениями, которые перечислены явно.</w:t>
      </w:r>
    </w:p>
    <w:p>
      <w:pPr>
        <w:pStyle w:val="Heading1"/>
        <w:spacing w:after="120" w:before="260"/>
      </w:pPr>
      <w:r>
        <w:t xml:space="preserve">1. Экономика этапа 1 — 10 000 т/год</w:t>
      </w:r>
    </w:p>
    <w:p>
      <w:pPr>
        <w:pStyle w:val="Heading2"/>
        <w:spacing w:after="100" w:before="200"/>
      </w:pPr>
      <w:r>
        <w:t xml:space="preserve">1.1. Базовые допущения (явно)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Значение (допущение)</w:t>
            </w:r>
          </w:p>
        </w:tc>
        <w:tc>
          <w:tcPr>
            <w:tcW w:type="dxa" w:w="38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Сырьё (вход)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10 000 т/год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~33 т/сутки, 300 раб. суток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Выход базового масла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72 % → 7 200 т/год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диапазон 70–75 %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Газойлевая фракция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~10 % → 1 000 т/год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побочный продукт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Битумный/асфальтеновый остаток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~9 % → 900 т/год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побочный; вода/потери ~9 %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Цена закупки сырья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275 €/т (250–300)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подтверждённый рыночный ориентир Болгарии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Цена продажи Group II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900 €/т (консервативно)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рынок сейчас выше (1 500–2 000 €/т EMEA), но волатилен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Цена газойля / битума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~450 / ~150 €/т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оценка; нет точных данных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1.2. Выручка (базовый сценарий)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200"/>
        <w:gridCol w:w="1900"/>
        <w:gridCol w:w="1800"/>
        <w:gridCol w:w="212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Продукт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Объём, т/год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Цена, €/т</w:t>
            </w:r>
          </w:p>
        </w:tc>
        <w:tc>
          <w:tcPr>
            <w:tcW w:type="dxa" w:w="21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Выручка, €/год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Базовое масло Group II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7 200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900</w:t>
            </w:r>
          </w:p>
        </w:tc>
        <w:tc>
          <w:tcPr>
            <w:tcW w:type="dxa" w:w="2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~6 480 000</w:t>
            </w:r>
          </w:p>
        </w:tc>
      </w:tr>
      <w:tr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Газойлевая фракция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1 000</w:t>
            </w:r>
          </w:p>
        </w:tc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450</w:t>
            </w:r>
          </w:p>
        </w:tc>
        <w:tc>
          <w:tcPr>
            <w:tcW w:type="dxa" w:w="2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~450 000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Битумный остаток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900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150</w:t>
            </w:r>
          </w:p>
        </w:tc>
        <w:tc>
          <w:tcPr>
            <w:tcW w:type="dxa" w:w="2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~135 000</w:t>
            </w:r>
          </w:p>
        </w:tc>
      </w:tr>
      <w:tr>
        <w:tc>
          <w:tcPr>
            <w:tcW w:type="dxa" w:w="32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ИТОГО выручка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  <w:tc>
          <w:tcPr>
            <w:tcW w:type="dxa" w:w="2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~7 060 000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1.3. Операционные затраты (OPEX, базовый сценарий)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600"/>
        <w:gridCol w:w="2100"/>
        <w:gridCol w:w="332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2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€/год (оценка)</w:t>
            </w:r>
          </w:p>
        </w:tc>
        <w:tc>
          <w:tcPr>
            <w:tcW w:type="dxa" w:w="3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Основание/допущение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Сырьё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~2 750 000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10 000 т × 275 €/т</w:t>
            </w:r>
          </w:p>
        </w:tc>
      </w:tr>
      <w:tr>
        <w:tc>
          <w:tcPr>
            <w:tcW w:type="dxa" w:w="3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Энергия (эл-во + тепло)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~1 000 000</w:t>
            </w:r>
          </w:p>
        </w:tc>
        <w:tc>
          <w:tcPr>
            <w:tcW w:type="dxa" w:w="3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~100 €/т сырья — оценка; точность даст ТЭО (нет данных)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Реагенты, адсорбенты, фильтр-материалы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~400 000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~40 €/т — оценка</w:t>
            </w:r>
          </w:p>
        </w:tc>
      </w:tr>
      <w:tr>
        <w:tc>
          <w:tcPr>
            <w:tcW w:type="dxa" w:w="3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Персонал (~22–28 чел.)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~500 000</w:t>
            </w:r>
          </w:p>
        </w:tc>
        <w:tc>
          <w:tcPr>
            <w:tcW w:type="dxa" w:w="3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болгарский уровень з/п с налогами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ТОиР, запчасти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~200 000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~3–4 % от стоимости оборудования</w:t>
            </w:r>
          </w:p>
        </w:tc>
      </w:tr>
      <w:tr>
        <w:tc>
          <w:tcPr>
            <w:tcW w:type="dxa" w:w="3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Утилиты, очистка стоков, вывоз остатка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~200 000</w:t>
            </w:r>
          </w:p>
        </w:tc>
        <w:tc>
          <w:tcPr>
            <w:tcW w:type="dxa" w:w="3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оценка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Логистика/сбор (сверх цены сырья)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~200 000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работа собственной сети</w:t>
            </w:r>
          </w:p>
        </w:tc>
      </w:tr>
      <w:tr>
        <w:tc>
          <w:tcPr>
            <w:tcW w:type="dxa" w:w="3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SG&amp;A, страхование, комплаенс</w:t>
            </w:r>
          </w:p>
        </w:tc>
        <w:tc>
          <w:tcPr>
            <w:tcW w:type="dxa" w:w="2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~300 000</w:t>
            </w:r>
          </w:p>
        </w:tc>
        <w:tc>
          <w:tcPr>
            <w:tcW w:type="dxa" w:w="3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оценка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ИТОГО OPEX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~5 550 000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 т.ч. сырьё 2,75 млн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t xml:space="preserve">1.4. Результат и окупаемость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020"/>
        <w:gridCol w:w="2000"/>
        <w:gridCol w:w="2000"/>
        <w:gridCol w:w="2000"/>
      </w:tblGrid>
      <w:tr>
        <w:trPr>
          <w:tblHeader/>
        </w:trPr>
        <w:tc>
          <w:tcPr>
            <w:tcW w:type="dxa" w:w="3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Пессим.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База</w:t>
            </w:r>
          </w:p>
        </w:tc>
        <w:tc>
          <w:tcPr>
            <w:tcW w:type="dxa" w:w="2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Оптим.</w:t>
            </w:r>
          </w:p>
        </w:tc>
      </w:tr>
      <w:tr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Цена Group II, €/т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850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900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1 000</w:t>
            </w:r>
          </w:p>
        </w:tc>
      </w:tr>
      <w:tr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Цена сырья, €/т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300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275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250</w:t>
            </w:r>
          </w:p>
        </w:tc>
      </w:tr>
      <w:tr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Выручка, млн €/год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~6,7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~7,1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~7,7</w:t>
            </w:r>
          </w:p>
        </w:tc>
      </w:tr>
      <w:tr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OPEX, млн €/год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~5,85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~5,55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~5,3</w:t>
            </w:r>
          </w:p>
        </w:tc>
      </w:tr>
      <w:tr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EBITDA, млн €/год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~0,8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~1,5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~2,4</w:t>
            </w:r>
          </w:p>
        </w:tc>
      </w:tr>
      <w:tr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CAPEX (см. 1.5), млн €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~8</w:t>
            </w:r>
          </w:p>
        </w:tc>
        <w:tc>
          <w:tcPr>
            <w:tcW w:type="dxa" w:w="2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~7</w:t>
            </w:r>
          </w:p>
        </w:tc>
      </w:tr>
      <w:tr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Простая окупаемость, лет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~10–12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~5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</w:t>
            </w:r>
          </w:p>
        </w:tc>
      </w:tr>
    </w:tbl>
    <w:p>
      <w:pPr>
        <w:spacing w:after="60"/>
      </w:pP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Честный вывод по 10 000 т/год.</w:t>
      </w:r>
      <w:r>
        <w:t xml:space="preserve"> Окупаемость (простая, до налогов и финансирования) — ориентировочно </w:t>
      </w:r>
      <w:r>
        <w:rPr>
          <w:b/>
          <w:bCs/>
        </w:rPr>
        <w:t xml:space="preserve">~5 лет в базовом сценарии, диапазон 3–8+ лет.</w:t>
      </w:r>
      <w:r>
        <w:t xml:space="preserve"> 10 000 т/год — это </w:t>
      </w:r>
      <w:r>
        <w:rPr>
          <w:b/>
          <w:bCs/>
        </w:rPr>
        <w:t xml:space="preserve">малый масштаб</w:t>
      </w:r>
      <w:r>
        <w:t xml:space="preserve"> для регенерации (TAYRAŞ 60 тыс., Avista 100 тыс., даже «Полихим» ~15 тыс.): постоянные затраты (персонал, лаборатория, разрешения, управление) давят на удельную себестоимость, поэтому маржа тоньше и окупаемость длиннее, чем на 30 тыс. т/год. Этап 1 разумно рассматривать как «вход и обкатку», а окупаемость проекта в целом улучшается по мере роста до 20–30 тыс. т/год.</w:t>
      </w:r>
    </w:p>
    <w:p>
      <w:pPr>
        <w:pStyle w:val="Heading2"/>
        <w:spacing w:after="100" w:before="200"/>
      </w:pPr>
      <w:r>
        <w:t xml:space="preserve">1.5. Инвестиции (CAPEX) и стоимость оборудования — этап 1</w:t>
      </w:r>
    </w:p>
    <w:p>
      <w:pPr>
        <w:spacing w:after="120" w:line="276"/>
        <w:jc w:val="both"/>
      </w:pPr>
      <w:r>
        <w:rPr>
          <w:b/>
          <w:bCs/>
        </w:rPr>
        <w:t xml:space="preserve">Прямо: точной цифры нет.</w:t>
      </w:r>
      <w:r>
        <w:t xml:space="preserve"> Стоимость строительства сопоставимых заводов (TAYRAŞ, Avista Green) публично не раскрыта — </w:t>
      </w:r>
      <w:r>
        <w:rPr>
          <w:b/>
          <w:bCs/>
        </w:rPr>
        <w:t xml:space="preserve">нет данных.</w:t>
      </w:r>
      <w:r>
        <w:t xml:space="preserve"> Цена комплекта JingJin известна только по КП поставщика, которого у нас нет. Ниже — </w:t>
      </w:r>
      <w:r>
        <w:rPr>
          <w:b/>
          <w:bCs/>
        </w:rPr>
        <w:t xml:space="preserve">оценочная декомпозиция</w:t>
      </w:r>
      <w:r>
        <w:t xml:space="preserve"> по отраслевым аналогиям (это НЕ котировка):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4000"/>
        <w:gridCol w:w="1900"/>
        <w:gridCol w:w="312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Статья CAPEX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Оценка, млн €</w:t>
            </w:r>
          </w:p>
        </w:tc>
        <w:tc>
          <w:tcPr>
            <w:tcW w:type="dxa" w:w="31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Технологическое оборудование (JingJin, модуль ~10 тыс. т/год, ATEX/CE, доставка)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2,5–4,5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ключевая неизвестная — нужна оферта JingJin</w:t>
            </w: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Резервуарный парк (сырьё 2–3×1000 м³, продукт 3×500 м³, обвалование)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1,0–1,5</w:t>
            </w:r>
          </w:p>
        </w:tc>
        <w:tc>
          <w:tcPr>
            <w:tcW w:type="dxa" w:w="3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СМР, фундаменты, здания, утилиты, подключение E-House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1,0–2,0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Проектирование, ОВОС+КР, REACH, консультанты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0,8–1,5</w:t>
            </w:r>
          </w:p>
        </w:tc>
        <w:tc>
          <w:tcPr>
            <w:tcW w:type="dxa" w:w="3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критический путь по срокам</w:t>
            </w: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ATEX/CE-адаптация, пожарная безопасность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0,3–0,6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Пусконаладка, обучение, стартовый оборотный капитал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0,7–1,2</w:t>
            </w:r>
          </w:p>
        </w:tc>
        <w:tc>
          <w:tcPr>
            <w:tcW w:type="dxa" w:w="3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</w:p>
        </w:tc>
      </w:tr>
      <w:tr>
        <w:tc>
          <w:tcPr>
            <w:tcW w:type="dxa" w:w="4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Площадка (покупка; при аренде — вне CAPEX)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0,5–1,5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опционально</w:t>
            </w:r>
          </w:p>
        </w:tc>
      </w:tr>
      <w:tr>
        <w:tc>
          <w:tcPr>
            <w:tcW w:type="dxa" w:w="40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ИТОГО (оценка, этап 1)</w:t>
            </w:r>
          </w:p>
        </w:tc>
        <w:tc>
          <w:tcPr>
            <w:tcW w:type="dxa" w:w="19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≈ 6,5–11 (база ~8)</w:t>
            </w:r>
          </w:p>
        </w:tc>
        <w:tc>
          <w:tcPr>
            <w:tcW w:type="dxa" w:w="31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без узла гидроочистки</w:t>
            </w:r>
          </w:p>
        </w:tc>
      </w:tr>
    </w:tbl>
    <w:p>
      <w:pPr>
        <w:spacing w:after="60"/>
      </w:pP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Развилка по качеству/CAPEX.</w:t>
      </w:r>
      <w:r>
        <w:t xml:space="preserve"> Если для гарантированного полноценного </w:t>
      </w:r>
      <w:r>
        <w:rPr>
          <w:b/>
          <w:bCs/>
        </w:rPr>
        <w:t xml:space="preserve">Group II</w:t>
      </w:r>
      <w:r>
        <w:t xml:space="preserve"> потребуется узел </w:t>
      </w:r>
      <w:r>
        <w:rPr>
          <w:b/>
          <w:bCs/>
        </w:rPr>
        <w:t xml:space="preserve">гидрооблагораживания</w:t>
      </w:r>
      <w:r>
        <w:t xml:space="preserve"> (как на TAYRAŞ, Sequoia + водород), CAPEX этапа 1 вырастет ориентировочно на </w:t>
      </w:r>
      <w:r>
        <w:rPr>
          <w:b/>
          <w:bCs/>
        </w:rPr>
        <w:t xml:space="preserve">+3–6 млн €</w:t>
      </w:r>
      <w:r>
        <w:t xml:space="preserve"> (итого ~10–17 млн €), а схема усложнится (водород, катализаторы, давление). Без гидроочистки продукт корректнее позиционировать как Group I/I+. Это решается на переговорах с партнёром и в ТЭО. Точные суммы — нет данных до КП.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2. TAM / SAM / SOM</w:t>
      </w:r>
    </w:p>
    <w:p>
      <w:pPr>
        <w:spacing w:after="120" w:line="276"/>
        <w:jc w:val="both"/>
      </w:pPr>
      <w:r>
        <w:t xml:space="preserve">Рынок рассмотрен в двух рамках: (A) рынок ПРОДУКТА (выручка от Group II) и (B) доступность СЫРЬЯ (реальное ограничение проекта). Доли и оценки помечены.</w:t>
      </w:r>
    </w:p>
    <w:p>
      <w:pPr>
        <w:pStyle w:val="Heading2"/>
        <w:spacing w:after="100" w:before="200"/>
      </w:pPr>
      <w:r>
        <w:t xml:space="preserve">2.1. Рамка A — рынок продукта (Group II базовое масло), выручка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600"/>
        <w:gridCol w:w="3100"/>
        <w:gridCol w:w="33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31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Оценка</w:t>
            </w:r>
          </w:p>
        </w:tc>
        <w:tc>
          <w:tcPr>
            <w:tcW w:type="dxa" w:w="3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Как посчитано / допущения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TAM (весь рынок)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~$2,2–2,5 млрд/год (мировой регенерат); ~€0,85 млрд/год (Европа, регенерат)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мировой рынок регенерированного базового масла (агентства); Европа: 877 тыс. т × ~1 000 €/т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SAM (досягаемый, радиус ~800 км от Бургаса)</w:t>
            </w:r>
          </w:p>
        </w:tc>
        <w:tc>
          <w:tcPr>
            <w:tcW w:type="dxa" w:w="31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~€230–340 млн/год</w:t>
            </w:r>
          </w:p>
        </w:tc>
        <w:tc>
          <w:tcPr>
            <w:tcW w:type="dxa" w:w="3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потребление смазок в регионе ~870–900 тыс. т → базовое масло ~700–750 тыс. т → доля Group II ~30–45 % (ДОПУЩЕНИЕ) ~230–340 тыс. т × ~1 000 €/т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SOM (реально захватываемый)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этап 1: ~€6,5 млн/год · этап 3: ~€19–20 млн/год</w:t>
            </w:r>
          </w:p>
        </w:tc>
        <w:tc>
          <w:tcPr>
            <w:tcW w:type="dxa" w:w="3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ограничен НЕ спросом, а мощностью: 7,2 тыс. т (10k) и 21,6 тыс. т (30k) × ~900 €/т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Вывод рамки A:</w:t>
      </w:r>
      <w:r>
        <w:t xml:space="preserve"> даже на этапе 3 продукт (~21,6 тыс. т) = ~6–9 % SAM — то есть </w:t>
      </w:r>
      <w:r>
        <w:rPr>
          <w:b/>
          <w:bCs/>
        </w:rPr>
        <w:t xml:space="preserve">сбыт не ограничивает</w:t>
      </w:r>
      <w:r>
        <w:t xml:space="preserve">: продать можно всё. SOM упирается в вашу мощность и сырьё, а не в рынок.</w:t>
      </w:r>
    </w:p>
    <w:p>
      <w:pPr>
        <w:pStyle w:val="Heading2"/>
        <w:spacing w:after="100" w:before="200"/>
      </w:pPr>
      <w:r>
        <w:t xml:space="preserve">2.2. Рамка B — доступность сырья (реальное ограничение)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600"/>
        <w:gridCol w:w="2600"/>
        <w:gridCol w:w="38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Уровень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Оценка, т/год</w:t>
            </w:r>
          </w:p>
        </w:tc>
        <w:tc>
          <w:tcPr>
            <w:tcW w:type="dxa" w:w="38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Состав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TAM сырья (образование в досягаемом регионе)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~460 000–485 000 (с Турцией); ~160 000–185 000 (без Турции)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Болгария 35–50к + Румыния 50–60к + Сербия 40к + Греция 30к + С.Македония 4к + Турция ~300к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SAM сырья (контестируемое)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~100 000–150 000</w:t>
            </w:r>
          </w:p>
        </w:tc>
        <w:tc>
          <w:tcPr>
            <w:tcW w:type="dxa" w:w="38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за вычетом запертого LPC греческого и запертого EPR турецкого; Болгария + Сербия + С.Македония + юг Румынии + ограниченный импорт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SOM сырья (реально законтрактуемое, ближне-средний срок)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~30 000–40 000</w:t>
            </w:r>
          </w:p>
        </w:tc>
        <w:tc>
          <w:tcPr>
            <w:tcW w:type="dxa" w:w="38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болгарская сеть + госзакупки + региональные партии + умеренный импорт по PIC</w:t>
            </w:r>
          </w:p>
        </w:tc>
      </w:tr>
    </w:tbl>
    <w:p>
      <w:pPr>
        <w:spacing w:after="60"/>
      </w:pP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Смысл:</w:t>
      </w:r>
      <w:r>
        <w:t xml:space="preserve"> SOM по сырью (~30–40 тыс. т/год) как раз накрывает проектные 30 тыс. т/год, а этап 1 (10 тыс.) берётся с запасом. Именно </w:t>
      </w:r>
      <w:r>
        <w:rPr>
          <w:b/>
          <w:bCs/>
        </w:rPr>
        <w:t xml:space="preserve">сырьё, а не сбыт, задаёт масштаб и темп.</w:t>
      </w:r>
      <w:r>
        <w:t xml:space="preserve"> Доля Group II в спросе (30–45 %) — допущение; при уточнении её можно пересчитать.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3. Карта всех источников сырья в регионе</w:t>
      </w:r>
    </w:p>
    <w:p>
      <w:pPr>
        <w:spacing w:after="120" w:line="276"/>
        <w:jc w:val="both"/>
      </w:pPr>
      <w:r>
        <w:t xml:space="preserve">Полный перечень, откуда физически может поступать отработанное масло: генераторы (кто образует), агрегаторы (у кого покупать), порты и трансграничные каналы (импорт). Объёмы, где нет проверяемых данных, помечены «нет данных».</w:t>
      </w:r>
    </w:p>
    <w:p>
      <w:pPr>
        <w:pStyle w:val="Heading2"/>
        <w:spacing w:after="100" w:before="200"/>
      </w:pPr>
      <w:r>
        <w:t xml:space="preserve">3.1. Болгария — диффузные генераторы (автосервис, транспорт, АПК)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Автосервисы, шиномонтаж, СТО</w:t>
      </w:r>
      <w:r>
        <w:t xml:space="preserve"> (тысячи точек), </w:t>
      </w:r>
      <w:r>
        <w:rPr>
          <w:b/>
          <w:bCs/>
        </w:rPr>
        <w:t xml:space="preserve">автопарки, дилеры, такси, логистика, городские автобусы, с/х кооперативы</w:t>
      </w:r>
      <w:r>
        <w:t xml:space="preserve"> (тракторы, комбайны). Основной источник моторного масла; сейчас во многом «серый».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Оценка потенциала: из ~27 тыс. т/год автосмазок образуется ~13–17 тыс. т/год отработанного масла (оценка). Доступ — собственная сеть приёма и выкуп 250–300 €/т.</w:t>
      </w:r>
    </w:p>
    <w:p>
      <w:pPr>
        <w:pStyle w:val="Heading2"/>
        <w:spacing w:after="100" w:before="200"/>
      </w:pPr>
      <w:r>
        <w:t xml:space="preserve">3.2. Болгария — точечные промышленные и государственные генераторы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3400"/>
        <w:gridCol w:w="2600"/>
        <w:gridCol w:w="302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Генератор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Тип масла</w:t>
            </w:r>
          </w:p>
        </w:tc>
        <w:tc>
          <w:tcPr>
            <w:tcW w:type="dxa" w:w="30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Доступ / статус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«Мини Марица-изток» ЕАД (гос., угольные разрезы)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гидравлика, редукторные, трансформаторные</w:t>
            </w:r>
          </w:p>
        </w:tc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тендер ЗОП на продажу (подтверждён, ~80 т лот)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«ТЕЦ Марица изток 2» ЕАД (гос., ТЭС)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турбинные, трансформаторные</w:t>
            </w:r>
          </w:p>
        </w:tc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тендер ЗОП; объём — нет данных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«АЕЦ Козлодуй» ЕАД (гос., АЭС)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турбинные, трансформаторные</w:t>
            </w:r>
          </w:p>
        </w:tc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тендер ЗОП; объём — нет данных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«Холдинг БДЖ» ЕАД + НК ЖИ (гос., ж/д)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дизельные локомотивы, трансформаторы</w:t>
            </w:r>
          </w:p>
        </w:tc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процедуры ЗОП; объём — нет данных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«Столичен електротранспорт» ЕАД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минеральные масла</w:t>
            </w:r>
          </w:p>
        </w:tc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тендер на продажу (подтверждён, 2024)</w:t>
            </w:r>
          </w:p>
        </w:tc>
      </w:tr>
      <w:tr>
        <w:tc>
          <w:tcPr>
            <w:tcW w:type="dxa" w:w="3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Гос. порты Бургас/Варна, ВиК, ВМЗ Сопот/ТЕРЕМ, Мин. обороны</w:t>
            </w:r>
          </w:p>
        </w:tc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портовая техника, насосы, автопарки</w:t>
            </w:r>
          </w:p>
        </w:tc>
        <w:tc>
          <w:tcPr>
            <w:tcW w:type="dxa" w:w="30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процедуры ЗОП; объём — нет данных</w:t>
            </w:r>
          </w:p>
        </w:tc>
      </w:tr>
      <w:tr>
        <w:tc>
          <w:tcPr>
            <w:tcW w:type="dxa" w:w="3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Частные крупные: Лукойл Нефтохим Бургас, Аурубис (Пирдоп), Асарел-Медет, Стомана Индъстри, цементные (Девня/Златна Панега), Solvay Sodi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индустриальные, гидравлика, трансформаторные</w:t>
            </w:r>
          </w:p>
        </w:tc>
        <w:tc>
          <w:tcPr>
            <w:tcW w:type="dxa" w:w="30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прямые договоры / тендеры; Асарел подтверждён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b/>
          <w:bCs/>
        </w:rPr>
        <w:t xml:space="preserve">Суммарно по точечным генераторам:</w:t>
      </w:r>
      <w:r>
        <w:t xml:space="preserve"> оценочно несколько тыс. т/год — качественная «базовая» загрузка. Точные годовые объёмы предприятий публично не раскрыты (</w:t>
      </w:r>
      <w:r>
        <w:rPr>
          <w:b/>
          <w:bCs/>
        </w:rPr>
        <w:t xml:space="preserve">нет данных</w:t>
      </w:r>
      <w:r>
        <w:t xml:space="preserve">); уточняются через тендерную документацию.</w:t>
      </w:r>
    </w:p>
    <w:p>
      <w:pPr>
        <w:pStyle w:val="Heading2"/>
        <w:spacing w:after="100" w:before="200"/>
      </w:pPr>
      <w:r>
        <w:t xml:space="preserve">3.3. Болгария — существующие сборщики и организации по оползотворяванию (агрегаторы)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rPr>
          <w:b/>
          <w:bCs/>
        </w:rPr>
        <w:t xml:space="preserve">Данубиум (Русе), Oil Recycling AD</w:t>
      </w:r>
      <w:r>
        <w:t xml:space="preserve">, организации по оползотворяванию масел (EPR-схемы), импортёры масел с EPR-обязательствами. У них уже есть собранный поток — их можно перекупать/партнёрствовать. Именно они сегодня выигрывают тендеры госпредприятий.</w:t>
      </w:r>
    </w:p>
    <w:p>
      <w:pPr>
        <w:pStyle w:val="ListParagraph"/>
        <w:numPr>
          <w:ilvl w:val="0"/>
          <w:numId w:val="2"/>
        </w:numPr>
        <w:spacing w:after="60" w:line="264"/>
        <w:jc w:val="left"/>
      </w:pPr>
      <w:r>
        <w:t xml:space="preserve">Механизм: закупка агрегированных партий; долгосрочные договоры в рамках их EPR-обязательств (иначе они платят продуктову таксу).</w:t>
      </w:r>
    </w:p>
    <w:p>
      <w:pPr>
        <w:pStyle w:val="Heading2"/>
        <w:spacing w:after="100" w:before="200"/>
      </w:pPr>
      <w:r>
        <w:t xml:space="preserve">3.4. Порты и логистические ворота (для импортного контура)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600"/>
        <w:gridCol w:w="1800"/>
        <w:gridCol w:w="462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Порт/ворота</w:t>
            </w:r>
          </w:p>
        </w:tc>
        <w:tc>
          <w:tcPr>
            <w:tcW w:type="dxa" w:w="1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Канал</w:t>
            </w:r>
          </w:p>
        </w:tc>
        <w:tc>
          <w:tcPr>
            <w:tcW w:type="dxa" w:w="46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Что даёт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Бургас (морской, площадка проекта)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Чёрное море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импорт из Турции, Украины, Грузии, Средиземноморья; приём танкерами/контейнерами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Варна (морской)</w:t>
            </w:r>
          </w:p>
        </w:tc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Чёрное море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альтернативный морской ввод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Русе (дунайский порт)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река Дунай</w:t>
            </w:r>
          </w:p>
        </w:tc>
        <w:tc>
          <w:tcPr>
            <w:tcW w:type="dxa" w:w="46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импорт из Сербии, Румынии, Центральной Европы</w:t>
            </w:r>
          </w:p>
        </w:tc>
      </w:tr>
      <w:tr>
        <w:tc>
          <w:tcPr>
            <w:tcW w:type="dxa" w:w="26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Лом, Видин (дунайские порты)</w:t>
            </w:r>
          </w:p>
        </w:tc>
        <w:tc>
          <w:tcPr>
            <w:tcW w:type="dxa" w:w="18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река Дунай</w:t>
            </w:r>
          </w:p>
        </w:tc>
        <w:tc>
          <w:tcPr>
            <w:tcW w:type="dxa" w:w="46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дополнительные точки ввоза с запада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t xml:space="preserve">Механизм импорта: процедура PIC по Регламенту (ЕС) 2024/1157, финансовая гарантия, согласие стран отправления/транзита. (Дату применения регламента уточнить по EUR-Lex.)</w:t>
      </w:r>
    </w:p>
    <w:p>
      <w:pPr>
        <w:pStyle w:val="Heading2"/>
        <w:spacing w:after="100" w:before="200"/>
      </w:pPr>
      <w:r>
        <w:t xml:space="preserve">3.5. Трансграничные источники</w:t>
      </w:r>
    </w:p>
    <w:tbl>
      <w:tblPr>
        <w:tblW w:type="dxa" w:w="902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CD3E0" w:sz="2"/>
          <w:insideV w:val="single" w:color="CCD3E0" w:sz="2"/>
        </w:tblBorders>
      </w:tblPr>
      <w:tblGrid>
        <w:gridCol w:w="2300"/>
        <w:gridCol w:w="2400"/>
        <w:gridCol w:w="432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Страна/источник</w:t>
            </w:r>
          </w:p>
        </w:tc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Потенциал, т/год</w:t>
            </w:r>
          </w:p>
        </w:tc>
        <w:tc>
          <w:tcPr>
            <w:tcW w:type="dxa" w:w="432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rPr>
                <w:b/>
                <w:bCs/>
                <w:color w:val="FFFFFF"/>
              </w:rPr>
              <w:t xml:space="preserve">Канал и статус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Сербия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~38 000 неучтённого потока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огромный резерв (перерабатывается лишь 440 т!); не-ЕС → PIC; Дунай/авто</w:t>
            </w:r>
          </w:p>
        </w:tc>
      </w:tr>
      <w:tr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Северная Македония</w:t>
            </w:r>
          </w:p>
        </w:tc>
        <w:tc>
          <w:tcPr>
            <w:tcW w:type="dxa" w:w="2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~4 000 (образование)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авто; частично сжигается на «Усье»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Румыния (юг)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часть от 50–60 тыс. страны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Дунай/Русе; конкурент — проект Green Oil</w:t>
            </w:r>
          </w:p>
        </w:tc>
      </w:tr>
      <w:tr>
        <w:tc>
          <w:tcPr>
            <w:tcW w:type="dxa" w:w="23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Турция</w:t>
            </w:r>
          </w:p>
        </w:tc>
        <w:tc>
          <w:tcPr>
            <w:tcW w:type="dxa" w:w="240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~300 000 образуется, но заперто EPR</w:t>
            </w:r>
          </w:p>
        </w:tc>
        <w:tc>
          <w:tcPr>
            <w:tcW w:type="dxa" w:w="4320"/>
            <w:shd w:fill="EEF1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только импорт по PIC (ОЭСР), морем в Бургас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Украина, Грузия, Молдова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нет надёжных данных</w:t>
            </w:r>
          </w:p>
        </w:tc>
        <w:tc>
          <w:tcPr>
            <w:tcW w:type="dxa" w:w="432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52"/>
              <w:jc w:val="left"/>
            </w:pPr>
            <w:r>
              <w:t xml:space="preserve">Чёрное море/Бургас; перспектива; учитывать логистические/страновые риски</w:t>
            </w:r>
          </w:p>
        </w:tc>
      </w:tr>
    </w:tbl>
    <w:p>
      <w:pPr>
        <w:spacing w:after="60"/>
      </w:pPr>
    </w:p>
    <w:p>
      <w:pPr>
        <w:pBdr>
          <w:left w:val="single" w:color="C00000" w:sz="18" w:space="12"/>
        </w:pBdr>
        <w:shd w:fill="FBE9E7" w:val="clear"/>
        <w:spacing w:after="120" w:before="120" w:line="276"/>
        <w:jc w:val="both"/>
      </w:pPr>
      <w:r>
        <w:rPr>
          <w:b/>
          <w:bCs/>
        </w:rPr>
        <w:t xml:space="preserve">Вывод по источникам.</w:t>
      </w:r>
      <w:r>
        <w:t xml:space="preserve"> Реалистичная сырьевая пирамида: (1) болгарская собственная сеть + агрегаторы — ядро; (2) тендеры госпредприятий — качественная база; (3) Сербия и Северная Македония — крупный недоиспользованный региональный резерв (через PIC); (4) Турция/Чёрное море — импортный буфер. Этого достаточно для 30 тыс. т/год; для «большого сегмента» (десятки тыс. т/мес) — только импортный хаб, отдельная стратегия.</w:t>
      </w:r>
    </w:p>
    <w:p>
      <w:pPr>
        <w:pStyle w:val="Heading1"/>
        <w:spacing w:after="120" w:before="260"/>
      </w:pPr>
      <w:r>
        <w:t xml:space="preserve">Источники и допущения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[1] </w:t>
      </w:r>
      <w:r>
        <w:rPr>
          <w:color w:val="404040"/>
          <w:sz w:val="18"/>
          <w:szCs w:val="18"/>
        </w:rPr>
        <w:t xml:space="preserve">Цены/рынок Group II: Lubes’N’Greases EMEA base-oil price reports (2026); Straits Research и др. (размер рынка регенерата).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[2] </w:t>
      </w:r>
      <w:r>
        <w:rPr>
          <w:color w:val="404040"/>
          <w:sz w:val="18"/>
          <w:szCs w:val="18"/>
        </w:rPr>
        <w:t xml:space="preserve">Региональные объёмы: Balkan Green Energy News (Сербия SEPA); Mordor Intelligence (смазки Болгарии); Lubes’N’Greases (Турция); China-CEE/Global Energy Monitor (С. Македония).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[3] </w:t>
      </w:r>
      <w:r>
        <w:rPr>
          <w:color w:val="404040"/>
          <w:sz w:val="18"/>
          <w:szCs w:val="18"/>
        </w:rPr>
        <w:t xml:space="preserve">Сопоставимые заводы (масштаб, не CAPEX): TAYRAŞ (tayras.com), Avista Green Kalundborg (WMW/Slicker), Eco Huile (ExxonMobil).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[4] </w:t>
      </w:r>
      <w:r>
        <w:rPr>
          <w:color w:val="404040"/>
          <w:sz w:val="18"/>
          <w:szCs w:val="18"/>
        </w:rPr>
        <w:t xml:space="preserve">Госзакупки сырья: АОП/ЦАИС ЕОП; marica-iztok.com; elektrotransportsf.com; asarel.com.</w:t>
      </w:r>
    </w:p>
    <w:p>
      <w:pPr>
        <w:spacing w:after="40" w:line="240"/>
      </w:pPr>
      <w:r>
        <w:rPr>
          <w:b/>
          <w:bCs/>
          <w:sz w:val="18"/>
          <w:szCs w:val="18"/>
        </w:rPr>
        <w:t xml:space="preserve">[5] </w:t>
      </w:r>
      <w:r>
        <w:rPr>
          <w:color w:val="404040"/>
          <w:sz w:val="18"/>
          <w:szCs w:val="18"/>
        </w:rPr>
        <w:t xml:space="preserve">CAPEX и цена оборудования JingJin — публичных данных нет; оценки CAPEX даны по отраслевым аналогиям и подлежат замене на КП поставщика и результаты ТЭО.</w:t>
      </w:r>
    </w:p>
    <w:p>
      <w:pPr>
        <w:spacing w:after="60"/>
      </w:pPr>
    </w:p>
    <w:p>
      <w:pPr>
        <w:spacing w:after="120" w:line="276"/>
        <w:jc w:val="both"/>
      </w:pPr>
      <w:r>
        <w:rPr>
          <w:i/>
          <w:iCs/>
          <w:color w:val="595959"/>
          <w:sz w:val="18"/>
          <w:szCs w:val="18"/>
        </w:rPr>
        <w:t xml:space="preserve">Все финансовые величины — оценки/допущения, не котировки и не оферта. Диапазоны и допущения указаны явно; где данных нет — помечено «нет данных». Дата: сентябрь 2026 г.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rPr>
      <w:b/>
      <w:bCs/>
      <w:color w:val="2E4C7E"/>
      <w:sz w:val="23"/>
      <w:szCs w:val="23"/>
    </w:rPr>
  </w:style>
  <w:style w:type="paragraph" w:styleId="Heading3">
    <w:name w:val="Heading 3"/>
    <w:basedOn w:val="Normal"/>
    <w:next w:val="Normal"/>
    <w:qFormat/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Экономика 10 000 т/год, TAM/SAM/SOM и источники сырья</dc:title>
  <dc:creator>Проектная группа</dc:creator>
  <cp:lastModifiedBy>Un-named</cp:lastModifiedBy>
  <cp:revision>1</cp:revision>
  <dcterms:created xsi:type="dcterms:W3CDTF">2026-09-03T16:02:47.103Z</dcterms:created>
  <dcterms:modified xsi:type="dcterms:W3CDTF">2026-09-03T16:02:47.103Z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