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ptos Display" w:cs="Aptos Display" w:eastAsia="Aptos Display" w:hAnsi="Aptos Display"/>
          <w:color w:val="1F3864"/>
          <w:sz w:val="40"/>
          <w:szCs w:val="40"/>
        </w:rPr>
        <w:t xml:space="preserve">HYPERGATE LTD / ITEZ</w:t>
      </w:r>
    </w:p>
    <w:p>
      <w:pPr>
        <w:pBdr>
          <w:bottom w:val="single" w:color="4472C4" w:sz="8" w:space="6"/>
        </w:pBdr>
        <w:spacing w:after="120"/>
        <w:jc w:val="center"/>
      </w:pPr>
      <w:r>
        <w:rPr>
          <w:rFonts w:ascii="Aptos Display" w:cs="Aptos Display" w:eastAsia="Aptos Display" w:hAnsi="Aptos Display"/>
          <w:color w:val="1F3864"/>
          <w:sz w:val="40"/>
          <w:szCs w:val="40"/>
        </w:rPr>
        <w:t xml:space="preserve">UK AUTHORISATION CLIENT BRIEFING</w:t>
      </w:r>
    </w:p>
    <w:p>
      <w:pPr>
        <w:spacing w:after="0" w:before="240"/>
        <w:jc w:val="center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Perimeter • Corporate Governance • Hiring • Discovery</w:t>
      </w:r>
    </w:p>
    <w:p>
      <w:pPr>
        <w:spacing w:after="240"/>
        <w:jc w:val="center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6 October 2026</w:t>
      </w:r>
    </w:p>
    <w:p>
      <w:pPr>
        <w:pStyle w:val="Heading1"/>
        <w:keepNext/>
        <w:spacing w:after="120" w:before="360"/>
      </w:pPr>
      <w:r>
        <w:rPr>
          <w:rFonts w:ascii="Aptos Display" w:cs="Aptos Display" w:eastAsia="Aptos Display" w:hAnsi="Aptos Display"/>
          <w:b/>
          <w:bCs/>
          <w:color w:val="2F5496"/>
          <w:sz w:val="28"/>
          <w:szCs w:val="28"/>
        </w:rPr>
        <w:t xml:space="preserve">1. Current 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Proposed UK applicant: Hypergate Ltd.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Commercial/platform brand: ITEZ and associated group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Current proposed core permission: dealing in qualifying cryptoassets as agent — subject to perimeter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Current understanding: straightforward crypto exchange/trading activity; no custody and no collateral management services are intended.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Immediate objective: (i) confirm current Hypergate activities, (ii) determine FCA permissions required and target clients (professional and/or retail), (iii) understand corporate structure, governance and people plan (including any key outsourcing arrangements) (iv) walkthrough workplan for FCA application.</w:t>
      </w:r>
    </w:p>
    <w:p>
      <w:pPr>
        <w:pStyle w:val="Heading1"/>
        <w:keepNext/>
        <w:spacing w:after="120" w:before="360"/>
      </w:pPr>
      <w:r>
        <w:rPr>
          <w:rFonts w:ascii="Aptos Display" w:cs="Aptos Display" w:eastAsia="Aptos Display" w:hAnsi="Aptos Display"/>
          <w:b/>
          <w:bCs/>
          <w:color w:val="2F5496"/>
          <w:sz w:val="28"/>
          <w:szCs w:val="28"/>
        </w:rPr>
        <w:t xml:space="preserve">2. Short perimeter test: what activity is Hypergate performing?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Activity</w:t>
            </w:r>
          </w:p>
        </w:tc>
        <w:tc>
          <w:tcPr>
            <w:tcW w:type="dxa" w:w="330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Practical meaning</w:t>
            </w:r>
          </w:p>
        </w:tc>
        <w:tc>
          <w:tcPr>
            <w:tcW w:type="dxa" w:w="336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Hypergate test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Dealing as agent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Hypergate buys or sells the cryptoasset on behalf of the customer.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Does Hypergate execute/enter the transaction as the customer’s agent against an external venue or counterparty?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Dealing as principal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Hypergate itself buys from or sells to the customer as counterparty.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Does Hypergate provide the trade as principal, determine its principal price or take principal exposure?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Arranging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Hypergate makes the arrangements through which the customer and another party transact, without itself executing as agent/principal.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Is Hypergate effectively routing, introducing or bringing about the transaction while another party executes it?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Operating a QCATP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Hypergate operates a multilateral system in which multiple third-party buying and selling interests interact and are brought together to result in transactions.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Does ITEZ/Hypergate operate an order book, matching engine or equivalent multilateral trading system?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Aptos Display" w:cs="Aptos Display" w:eastAsia="Aptos Display" w:hAnsi="Aptos Display"/>
          <w:b/>
          <w:bCs/>
          <w:color w:val="2F5496"/>
          <w:sz w:val="28"/>
          <w:szCs w:val="28"/>
        </w:rPr>
        <w:t xml:space="preserve">3. Authorisation flight plan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Focus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1. Discovery &amp; perimeter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Map legal entities, products, UK customers and the complete order/execution/fiat/crypto flow. Decide agent vs principal vs arranging vs QCATP.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2. Target operating model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Define what sits in Hypergate, what sits elsewhere in the ITEZ group, UK substance, decision rights, outsourcing and service-provider dependencies.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3. Governance &amp; people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Confirm Board, executive accountability, Compliance, MLRO, Risk, Finance, Operations, Technology and trading/market-conduct ownership.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4. FCA pre-application readiness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Prepare the business model, perimeter analysis, proposed permissions, governance and transaction architecture for PASS (FCA Pre-Application Support Service) if appropriate.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5. Control &amp; document build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Build the Hypergate-specific governance, risk, financial crime, conduct, market integrity, operational resilience, outsourcing, technology, financial resources and wind-down environment.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6. Application &amp; challenge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Complete Regulatory Business Plan/application/evidence room; run mock FCA challenge; remediate gaps and inconsistencies.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7. Review &amp; Senior management approval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Review complete application pack and present to senior management for their review and approval ahead of FCA submission.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8. Submission &amp; FCA engagement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Target January / early February 2027 submission, then manage FCA questions and readiness through determination.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ptos Display" w:cs="Aptos Display" w:eastAsia="Aptos Display" w:hAnsi="Aptos Display"/>
          <w:b/>
          <w:bCs/>
          <w:color w:val="2F5496"/>
          <w:sz w:val="28"/>
          <w:szCs w:val="28"/>
        </w:rPr>
        <w:t xml:space="preserve">4. Suggested high-level corporate governance architecture</w:t>
      </w:r>
    </w:p>
    <w:p>
      <w:pPr>
        <w:spacing w:after="160"/>
      </w:pPr>
      <w:r>
        <w:rPr>
          <w:rFonts w:ascii="Aptos" w:cs="Aptos" w:eastAsia="Aptos" w:hAnsi="Aptos"/>
          <w:sz w:val="20"/>
          <w:szCs w:val="20"/>
        </w:rPr>
        <w:t xml:space="preserve">The objective is a proportionate UK governance structure in which Hypergate has genuine authority over the regulated business, while making controlled use of ITEZ/group capabilities where appropriate.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Governance layer</w:t>
            </w:r>
          </w:p>
        </w:tc>
        <w:tc>
          <w:tcPr>
            <w:tcW w:type="dxa" w:w="546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High-level role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Hypergate Ltd Board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Overall UK strategy, risk appetite, regulatory accountability, financial resources, material outsourcing, product approval and oversight of senior management.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CEO / UK Executive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Day-to-day ownership of the UK regulated business; accountable to the Hypergate Board.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Risk &amp; Compliance forum / committee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Compliance, financial crime, enterprise risk, RCSA (Risk and Control Self-Assessment), incidents, regulatory change, customer outcomes and remediation. May initially be management-level rather than a separate Board committee.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Product / Trading &amp; Market Conduct forum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New products, execution model, venues/liquidity providers, conflicts, pricing/execution governance, market conduct and changes to the trading proposition.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Operational Resilience / Outsourcing oversight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Material group and third-party dependencies, technology, cyber, incidents, BCP/DR, SLAs, concentration and exit planning. Can sit within Risk &amp; Compliance initially.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ITEZ / group services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Technology, operations or other shared capabilities provided under documented intragroup/service arrangements, with clear Hypergate ownership, MI, escalation, audit/access rights and exit arrangements.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ptos Display" w:cs="Aptos Display" w:eastAsia="Aptos Display" w:hAnsi="Aptos Display"/>
          <w:b/>
          <w:bCs/>
          <w:color w:val="4472C4"/>
          <w:sz w:val="22"/>
          <w:szCs w:val="22"/>
        </w:rPr>
        <w:t xml:space="preserve">Indicative reporting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Hypergate Board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CEO / UK Executive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Compliance &amp; MLRO | Risk | Finance | Operations | Technology | Trading / Market Conduct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Underlying ITEZ/group and third-party services governed through formal outsourcing/intragroup arrangements</w:t>
      </w:r>
    </w:p>
    <w:p>
      <w:pPr>
        <w:pStyle w:val="Heading1"/>
        <w:keepNext/>
        <w:spacing w:after="120" w:before="360"/>
      </w:pPr>
      <w:r>
        <w:rPr>
          <w:rFonts w:ascii="Aptos Display" w:cs="Aptos Display" w:eastAsia="Aptos Display" w:hAnsi="Aptos Display"/>
          <w:b/>
          <w:bCs/>
          <w:color w:val="2F5496"/>
          <w:sz w:val="28"/>
          <w:szCs w:val="28"/>
        </w:rPr>
        <w:t xml:space="preserve">5. Suggested hiring / in-scope people plan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4472C4" w:sz="8"/>
              <w:left w:val="none" w:color="FFFFFF" w:sz="0"/>
              <w:bottom w:val="single" w:color="4472C4" w:sz="8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UK CEO / senior executive lead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Genuine authority over Hypergate and the UK regulated business.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Head of Compliance / Compliance Officer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Compliance framework, monitoring, advice, FCA engagement and regulatory change.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MLRO / Financial Crime lead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AML/CTF, sanctions, transaction monitoring, Travel Rule and escalation.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Risk lead / CRO capability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Core capability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Risk appetite, enterprise risk, RCSA/control environment, operational and third-party risk.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CFO / Finance lead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Core capability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Forecasts, capital/liquidity, regulatory financial information and wind-down financial planning.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COO / Operations lead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Likely core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Order/execution operations, settlement interfaces, incidents, service providers and operational resilience.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Technology / Security lead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Core capability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Platform, cyber, data, change and resilience; may leverage group capability with clear UK oversight.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Trading / Execution &amp; Market Conduct lead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Likely core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Execution architecture, venues/LPs, conflicts, order handling, surveillance and market-conduct controls.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Consumer Duty / Conduct owner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If retail in scope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Customer journey, communications, outcomes, complaints and conduct governance.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UK Legal / Regulatory Counsel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In-house or retained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Perimeter, contracts, intragroup arrangements and regulatory interpretation.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2F5496"/>
                <w:sz w:val="17"/>
                <w:szCs w:val="17"/>
              </w:rPr>
              <w:t xml:space="preserve">Independent assurance / Internal Audit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Proportionate / outsourceable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4472C4" w:sz="8"/>
              <w:right w:val="none" w:color="FFFFFF" w:sz="0"/>
            </w:tcBorders>
            <w:shd w:fill="D9E2F3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Aptos" w:cs="Aptos" w:eastAsia="Aptos" w:hAnsi="Aptos"/>
                <w:b w:val="false"/>
                <w:bCs w:val="false"/>
                <w:color w:val="2F5496"/>
                <w:sz w:val="17"/>
                <w:szCs w:val="17"/>
              </w:rPr>
              <w:t xml:space="preserve">Independent testing once the operating model and control environment are established.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ptos Display" w:cs="Aptos Display" w:eastAsia="Aptos Display" w:hAnsi="Aptos Display"/>
          <w:b/>
          <w:bCs/>
          <w:color w:val="2F5496"/>
          <w:sz w:val="28"/>
          <w:szCs w:val="28"/>
        </w:rPr>
        <w:t xml:space="preserve">6. Workshop questions for the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Show us one UK customer transaction end-to-end: who receives the order, who executes it, where is it executed, who is the counterparty and how is the executable price determined?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Does Hypergate itself enter the trade as the customer’s agent, or does another legal entity execute it?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Does ITEZ/Hypergate operate an order book, matching engine or other system in which multiple third-party buying and selling interests interact?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Does any group entity act as principal, warehouse crypto, internalise flow or take market/price risk?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Which legal entity contracts with the UK customer and which entity earns the spread, commission or fee?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Where do the key functions sit today — Board/management, compliance, MLRO, risk, finance, operations, technology, customer support, trading/execution and market surveillance — and which legal entity employs each person?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Which decisions can Hypergate make independently and which require approval from another ITEZ/group entity?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Which group entities own the ITEZ brand, technology/IP, website/app and customer data?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Which entities provide technology, execution, banking/payment, KYC, blockchain analytics, transaction monitoring or customer-support services to Hypergate?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Who holds customer fiat and crypto before, during and after execution? Confirm that Hypergate will not provide custody or collateral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Which customer types will Hypergate serve — retail, professional/institutional or both — and which cryptoassets/products will be offered?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What regulatory permissions/registrations do ITEZ group entities already hold globally, and have there been any previous UK/FCA applications or engagement?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What is the proposed UK Board and senior-management structure and which individuals have already been identified?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How will Hypergate be funded and capitalised through authorisation and the first 24–36 months?</w:t>
      </w:r>
    </w:p>
    <w:p>
      <w:pPr>
        <w:pStyle w:val="Heading1"/>
        <w:keepNext/>
        <w:spacing w:after="120" w:before="360"/>
      </w:pPr>
      <w:r>
        <w:rPr>
          <w:rFonts w:ascii="Aptos Display" w:cs="Aptos Display" w:eastAsia="Aptos Display" w:hAnsi="Aptos Display"/>
          <w:b/>
          <w:bCs/>
          <w:color w:val="2F5496"/>
          <w:sz w:val="28"/>
          <w:szCs w:val="28"/>
        </w:rPr>
        <w:t xml:space="preserve">7. Corporate architecture / document requirements for FCA regulated 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Group legal-entity and ownership chart, including UBOs and ownership percentages.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Group organisation chart showing named individuals, function, location, employing legal entity and reporting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Regulatory licence/registration map by legal entity, jurisdiction and permission.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Existing target operating model, business architecture or legal-entity functional-allocation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Product/service catalogue mapped to legal entities and jurisdictions.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Customer journey and end-to-end order/execution flow diagrams.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Fiat and cryptoasset flow diagrams, including banking/payment and settlement arrangements.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Trading/execution architecture: order routing, matching, venues, brokers, market makers and liquidity providers.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Technology/application architecture and data-flow diagrams; identification of the entity that owns/operates each component.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Intragroup services/outsourcing map, contracts and SLAs.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Current Board/committee structure, delegated authorities, reserved matters and governance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Existing risk taxonomy, risk appetite, RCSA/control library, AML/KYC, sanctions, transaction monitoring and market-conduct/surveillance materials.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Existing compliance monitoring, complaints, conduct/Consumer Duty, financial-promotions, operational-resilience, BCP/DR and cyber materials.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Hypergate financials, budgets, forecasts, funding/capital plan and intercompany arrangements.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CVs and role profiles for proposed Hypergate directors and senior/control-function 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Any FCA correspondence, legal opinions, perimeter analysis, PASS (Pre-Application Support Service) materials or previous Connect submissions.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Aptos Display" w:cs="Aptos Display" w:eastAsia="Aptos Display" w:hAnsi="Aptos Display"/>
          <w:b/>
          <w:bCs/>
          <w:color w:val="2F5496"/>
          <w:sz w:val="28"/>
          <w:szCs w:val="28"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Provide Briefing Note and Non-Disclosure Agreement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Meeting (30 minutes) to discuss Briefing Note points 1 to 5 – scoping of regulatory permissions and hiring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Workshop (2 hours) to discuss Briefing Note point 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ptos" w:cs="Aptos" w:eastAsia="Aptos" w:hAnsi="Aptos"/>
          <w:sz w:val="20"/>
          <w:szCs w:val="20"/>
        </w:rPr>
        <w:t xml:space="preserve">Provide pricing proposal and draft contract (including detailed workplan)</w:t>
      </w:r>
    </w:p>
    <w:p>
      <w:pPr>
        <w:spacing w:before="360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Regulatory note: </w:t>
      </w:r>
      <w:r>
        <w:rPr>
          <w:rFonts w:ascii="Aptos" w:cs="Aptos" w:eastAsia="Aptos" w:hAnsi="Aptos"/>
          <w:sz w:val="20"/>
          <w:szCs w:val="20"/>
        </w:rPr>
        <w:t xml:space="preserve">The UK cryptoasset application period is open from 30 September 2026 to 28 February 2027, with the new regime commencing 25 October 2027. The 2026 Regulations separately specify operating a qualifying cryptoasset trading platform, dealing as principal, dealing as agent and arranging deals as regulated activities. Final permissions should therefore follow the evidenced operating model.</w:t>
      </w:r>
    </w:p>
    <w:sectPr>
      <w:headerReference w:type="default" r:id="rId6"/>
      <w:footerReference w:type="default" r:id="rId7"/>
      <w:pgSz w:w="12240" w:h="15840" w:orient="portrait"/>
      <w:pgMar w:top="1100" w:right="1080" w:bottom="100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sz w:val="16"/>
        <w:szCs w:val="16"/>
      </w:rPr>
      <w:t xml:space="preserve">Confidential | Client briefing | 6 October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6"/>
        <w:szCs w:val="16"/>
      </w:rPr>
      <w:t xml:space="preserve">GLENTORION | HYPERGATE LTD / ITEZ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2026-10-08T11:37:47.902Z</dcterms:created>
  <dcterms:modified xsi:type="dcterms:W3CDTF">2026-10-08T11:37:47.922Z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