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4"/>
          <w:szCs w:val="34"/>
        </w:rPr>
        <w:t xml:space="preserve">ПЛАН РЕАЛИЗАЦИИ ПРОЕКТА</w:t>
      </w:r>
    </w:p>
    <w:p>
      <w:pPr>
        <w:spacing w:after="240"/>
      </w:pPr>
      <w:r>
        <w:rPr>
          <w:i/>
          <w:iCs/>
          <w:color w:val="595959"/>
          <w:sz w:val="22"/>
          <w:szCs w:val="22"/>
        </w:rPr>
        <w:t xml:space="preserve">Завод по регенерации отработанных масел в базовое масло API Group II · г. Бургас, Болгария · Этапы по сырью: 10 → 20 → 30 тыс. т/год · Горизонт до проектной мощности ~54–66 мес.</w:t>
      </w:r>
    </w:p>
    <w:p>
      <w:pPr>
        <w:pStyle w:val="Heading1"/>
        <w:spacing w:after="120" w:before="260"/>
      </w:pPr>
      <w:r>
        <w:t xml:space="preserve">1. Исходные параметры и допущения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Этапность по сырью:</w:t>
      </w:r>
      <w:r>
        <w:t xml:space="preserve"> этап 1 — 10 000 т/год (~33 т/сутки); этап 2 — 20 000 т/год; этап 3 (проектная) — 30 000 т/год (~100 т/сутки, 300 раб. суток). Модульная архитектура; далее — масштабирование по мере необходимости.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Продукт:</w:t>
      </w:r>
      <w:r>
        <w:t xml:space="preserve"> базовое масло API Group II (~70–75 % выхода); побочные — газойлевая фракция, битумный остаток.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Технология:</w:t>
      </w:r>
      <w:r>
        <w:t xml:space="preserve"> китайский партнёр (вакуумная дистилляция + доочистка, экологические нормы КНР); оборудование JingJin Equipment Inc.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Разрешения оформляются сразу на полные 30 000 т/год.</w:t>
      </w:r>
      <w:r>
        <w:t xml:space="preserve"> Уже этап 1 (10 т/сутки+) попадает под Директиву 2010/75/EC → комплексное разрешительное (КР/IPPC) и ОВОС обязательны. Оформлять на 30 тыс. т/год, чтобы не переоформлять при расширении. Применяется совмещённая процедура по гл. 6 + гл. 7 ЗООС (с 2019 г.) — экономия 4–6 месяцев. [1][2][4]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Прецедент:</w:t>
      </w:r>
      <w:r>
        <w:t xml:space="preserve"> «Полихим-СС» ЕООД получила КР № 440-N2/2024 на регенерацию отработанных масел — процедура отработана в болгарской практике. [3]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Стратегия наращивания:</w:t>
      </w:r>
      <w:r>
        <w:t xml:space="preserve"> сначала вводится линия/модуль ~10 000 т/год (ниже CAPEX, быстрее пуск); затем мощность добавляется до 20 000 и 30 000 т/год модулями — по мере роста сырьевой базы и денежного потока. Сроки — в месяцах от Т0 (подписание соглашения с партнёром и старт работ); критический путь — разрешительная фаза.</w:t>
      </w:r>
    </w:p>
    <w:p>
      <w:pPr>
        <w:pStyle w:val="Heading1"/>
        <w:spacing w:after="120" w:before="260"/>
      </w:pPr>
      <w:r>
        <w:t xml:space="preserve">2. Этап 0. Подготовительный (месяцы 1–4)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500"/>
        <w:gridCol w:w="4020"/>
        <w:gridCol w:w="1300"/>
        <w:gridCol w:w="32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40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Действие</w:t>
            </w:r>
          </w:p>
        </w:tc>
        <w:tc>
          <w:tcPr>
            <w:tcW w:type="dxa" w:w="13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Срок</w:t>
            </w:r>
          </w:p>
        </w:tc>
        <w:tc>
          <w:tcPr>
            <w:tcW w:type="dxa" w:w="32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Комментарий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0.1</w:t>
            </w:r>
          </w:p>
        </w:tc>
        <w:tc>
          <w:tcPr>
            <w:tcW w:type="dxa" w:w="4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Регистрация болгарской компании (ЕООД/АД), счета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1–2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акционеры: китайский партнёр + оператор проекта</w:t>
            </w:r>
          </w:p>
        </w:tc>
      </w:tr>
      <w:tr>
        <w:tc>
          <w:tcPr>
            <w:tcW w:type="dxa" w:w="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0.2</w:t>
            </w:r>
          </w:p>
        </w:tc>
        <w:tc>
          <w:tcPr>
            <w:tcW w:type="dxa" w:w="40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Соглашение с партнёром: технология + поставка оборудования + шефмонтаж (без отдельной лицензии — технология в комплекте/во вкладе)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1–3</w:t>
            </w:r>
          </w:p>
        </w:tc>
        <w:tc>
          <w:tcPr>
            <w:tcW w:type="dxa" w:w="32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гарантии выхода и качества Group II; техподдержка; опцион на модули этапов 2–3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0.3</w:t>
            </w:r>
          </w:p>
        </w:tc>
        <w:tc>
          <w:tcPr>
            <w:tcW w:type="dxa" w:w="4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Выбор площадки в Бургасе (промзона, 3–5 га)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2–4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электроснабжение 6–8 МВт, ж/д тупик желателен, санитарные разрывы, близость к порту</w:t>
            </w:r>
          </w:p>
        </w:tc>
      </w:tr>
      <w:tr>
        <w:tc>
          <w:tcPr>
            <w:tcW w:type="dxa" w:w="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0.4</w:t>
            </w:r>
          </w:p>
        </w:tc>
        <w:tc>
          <w:tcPr>
            <w:tcW w:type="dxa" w:w="40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ТЭО, финансовая модель, структура финансирования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2–4</w:t>
            </w:r>
          </w:p>
        </w:tc>
        <w:tc>
          <w:tcPr>
            <w:tcW w:type="dxa" w:w="32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раздельно по этапам 1/2/3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0.5</w:t>
            </w:r>
          </w:p>
        </w:tc>
        <w:tc>
          <w:tcPr>
            <w:tcW w:type="dxa" w:w="4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Найм болгарского эколога-консультанта и юриста по разрешениям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2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опыт КР/IPPC обязателен</w:t>
            </w:r>
          </w:p>
        </w:tc>
      </w:tr>
      <w:tr>
        <w:tc>
          <w:tcPr>
            <w:tcW w:type="dxa" w:w="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0.6</w:t>
            </w:r>
          </w:p>
        </w:tc>
        <w:tc>
          <w:tcPr>
            <w:tcW w:type="dxa" w:w="40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Предварительная встреча с РИОСВ-Бургас и МОСВ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3–4</w:t>
            </w:r>
          </w:p>
        </w:tc>
        <w:tc>
          <w:tcPr>
            <w:tcW w:type="dxa" w:w="32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согласование рамки процедур</w:t>
            </w: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t xml:space="preserve">3. Этап 1. Разрешительная фаза (месяцы 3–20) — критический путь</w:t>
      </w:r>
    </w:p>
    <w:p>
      <w:pPr>
        <w:spacing w:after="120" w:line="276"/>
        <w:jc w:val="both"/>
      </w:pPr>
      <w:r>
        <w:t xml:space="preserve">Оформляется на полные 30 000 т/год.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500"/>
        <w:gridCol w:w="4020"/>
        <w:gridCol w:w="1300"/>
        <w:gridCol w:w="32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40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Действие</w:t>
            </w:r>
          </w:p>
        </w:tc>
        <w:tc>
          <w:tcPr>
            <w:tcW w:type="dxa" w:w="13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Срок</w:t>
            </w:r>
          </w:p>
        </w:tc>
        <w:tc>
          <w:tcPr>
            <w:tcW w:type="dxa" w:w="32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Основание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1.1</w:t>
            </w:r>
          </w:p>
        </w:tc>
        <w:tc>
          <w:tcPr>
            <w:tcW w:type="dxa" w:w="4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Уведомление об инвестиционном предложении; решение о необходимости ОВОС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3–6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ЗООС гл. 6 [4]</w:t>
            </w:r>
          </w:p>
        </w:tc>
      </w:tr>
      <w:tr>
        <w:tc>
          <w:tcPr>
            <w:tcW w:type="dxa" w:w="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1.2</w:t>
            </w:r>
          </w:p>
        </w:tc>
        <w:tc>
          <w:tcPr>
            <w:tcW w:type="dxa" w:w="40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Разработка доклада ОВОС (лицензированный консультант)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6–12</w:t>
            </w:r>
          </w:p>
        </w:tc>
        <w:tc>
          <w:tcPr>
            <w:tcW w:type="dxa" w:w="32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консультации с общественностью, РЗИ, бассейновой дирекцией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1.3</w:t>
            </w:r>
          </w:p>
        </w:tc>
        <w:tc>
          <w:tcPr>
            <w:tcW w:type="dxa" w:w="4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Совмещённая процедура: решение по ОВОС + выдача КР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12–20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ЗООС гл. 6–7; общественные обсуждения; заключение по НДТ (BAT) [1][2]</w:t>
            </w:r>
          </w:p>
        </w:tc>
      </w:tr>
      <w:tr>
        <w:tc>
          <w:tcPr>
            <w:tcW w:type="dxa" w:w="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1.4</w:t>
            </w:r>
          </w:p>
        </w:tc>
        <w:tc>
          <w:tcPr>
            <w:tcW w:type="dxa" w:w="40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Разрешение/регистрационный документ на сбор и транспорт отработанных масел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8–14</w:t>
            </w:r>
          </w:p>
        </w:tc>
        <w:tc>
          <w:tcPr>
            <w:tcW w:type="dxa" w:w="32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чл. 35/67 ЗУО; решение РИОСВ до 2 мес. от полного досье [5][6]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1.5</w:t>
            </w:r>
          </w:p>
        </w:tc>
        <w:tc>
          <w:tcPr>
            <w:tcW w:type="dxa" w:w="4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REACH: досье на регенерированное базовое масло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6–18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тоннажная полоса 100–1000 т/год; далее апгрейд</w:t>
            </w:r>
          </w:p>
        </w:tc>
      </w:tr>
      <w:tr>
        <w:tc>
          <w:tcPr>
            <w:tcW w:type="dxa" w:w="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1.6</w:t>
            </w:r>
          </w:p>
        </w:tc>
        <w:tc>
          <w:tcPr>
            <w:tcW w:type="dxa" w:w="40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Спецификации продукта, вывод из статуса отхода (end-of-waste), CLP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12–20</w:t>
            </w:r>
          </w:p>
        </w:tc>
        <w:tc>
          <w:tcPr>
            <w:tcW w:type="dxa" w:w="32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—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1.7</w:t>
            </w:r>
          </w:p>
        </w:tc>
        <w:tc>
          <w:tcPr>
            <w:tcW w:type="dxa" w:w="4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Классификация по рисковому потенциалу (опасные вещества, Seveso)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14–20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при превышении порогов хранения — доп. требования</w:t>
            </w: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t xml:space="preserve">4. Этап 2. Проектирование и разрешение на строительство (месяцы 8–24, параллельно)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500"/>
        <w:gridCol w:w="4020"/>
        <w:gridCol w:w="1300"/>
        <w:gridCol w:w="32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40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Действие</w:t>
            </w:r>
          </w:p>
        </w:tc>
        <w:tc>
          <w:tcPr>
            <w:tcW w:type="dxa" w:w="13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Срок</w:t>
            </w:r>
          </w:p>
        </w:tc>
        <w:tc>
          <w:tcPr>
            <w:tcW w:type="dxa" w:w="32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Комментарий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2.1</w:t>
            </w:r>
          </w:p>
        </w:tc>
        <w:tc>
          <w:tcPr>
            <w:tcW w:type="dxa" w:w="4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При необходимости — изменение ПУП под промышленный объект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8–16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если площадка в готовой промзоне — не требуется</w:t>
            </w:r>
          </w:p>
        </w:tc>
      </w:tr>
      <w:tr>
        <w:tc>
          <w:tcPr>
            <w:tcW w:type="dxa" w:w="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2.2</w:t>
            </w:r>
          </w:p>
        </w:tc>
        <w:tc>
          <w:tcPr>
            <w:tcW w:type="dxa" w:w="40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Идейный проект (идеен проект), согласования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10–15</w:t>
            </w:r>
          </w:p>
        </w:tc>
        <w:tc>
          <w:tcPr>
            <w:tcW w:type="dxa" w:w="32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на базе технологической схемы партнёра; закладка мест под модули 20/30 тыс.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2.3</w:t>
            </w:r>
          </w:p>
        </w:tc>
        <w:tc>
          <w:tcPr>
            <w:tcW w:type="dxa" w:w="4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Технический/рабочий проект (болгарский лицензированный проектант)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14–20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адаптация под нормы ЕС: ATEX-зонирование, пожарная безопасность (НСТП)</w:t>
            </w:r>
          </w:p>
        </w:tc>
      </w:tr>
      <w:tr>
        <w:tc>
          <w:tcPr>
            <w:tcW w:type="dxa" w:w="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2.4</w:t>
            </w:r>
          </w:p>
        </w:tc>
        <w:tc>
          <w:tcPr>
            <w:tcW w:type="dxa" w:w="40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Разрешение на строительство (разрешение за строеж)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20–24</w:t>
            </w:r>
          </w:p>
        </w:tc>
        <w:tc>
          <w:tcPr>
            <w:tcW w:type="dxa" w:w="32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ЗУТ; требует решения ОВОС</w:t>
            </w: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t xml:space="preserve">5. Этап 3. Оборудование JingJin — модуль 1 (10 000 т/год) (месяцы 4–26, параллельно)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500"/>
        <w:gridCol w:w="4020"/>
        <w:gridCol w:w="1300"/>
        <w:gridCol w:w="32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40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Действие</w:t>
            </w:r>
          </w:p>
        </w:tc>
        <w:tc>
          <w:tcPr>
            <w:tcW w:type="dxa" w:w="13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Срок</w:t>
            </w:r>
          </w:p>
        </w:tc>
        <w:tc>
          <w:tcPr>
            <w:tcW w:type="dxa" w:w="32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Комментарий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3.1</w:t>
            </w:r>
          </w:p>
        </w:tc>
        <w:tc>
          <w:tcPr>
            <w:tcW w:type="dxa" w:w="4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ТЗ на комплект поставки, контракт с JingJin (модуль 1)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4–6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CE-маркировка узлов, ATEX-исполнение, документация на английском; опцион на модули 2–3</w:t>
            </w:r>
          </w:p>
        </w:tc>
      </w:tr>
      <w:tr>
        <w:tc>
          <w:tcPr>
            <w:tcW w:type="dxa" w:w="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3.2</w:t>
            </w:r>
          </w:p>
        </w:tc>
        <w:tc>
          <w:tcPr>
            <w:tcW w:type="dxa" w:w="40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Изготовление оборудования в Дэчжоу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6–14</w:t>
            </w:r>
          </w:p>
        </w:tc>
        <w:tc>
          <w:tcPr>
            <w:tcW w:type="dxa" w:w="32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фильтр-прессы, испарители, реакторы/сосуды, сушилка, электрошкафы, E-House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3.3</w:t>
            </w:r>
          </w:p>
        </w:tc>
        <w:tc>
          <w:tcPr>
            <w:tcW w:type="dxa" w:w="4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Заводская приёмка (FAT) с представителем заказчика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14–15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аудит европейским инспектором до отгрузки</w:t>
            </w:r>
          </w:p>
        </w:tc>
      </w:tr>
      <w:tr>
        <w:tc>
          <w:tcPr>
            <w:tcW w:type="dxa" w:w="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3.4</w:t>
            </w:r>
          </w:p>
        </w:tc>
        <w:tc>
          <w:tcPr>
            <w:tcW w:type="dxa" w:w="40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Морская доставка Дэчжоу/Циндао → порт Бургас, таможня</w:t>
            </w:r>
          </w:p>
        </w:tc>
        <w:tc>
          <w:tcPr>
            <w:tcW w:type="dxa" w:w="1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15–19</w:t>
            </w:r>
          </w:p>
        </w:tc>
        <w:tc>
          <w:tcPr>
            <w:tcW w:type="dxa" w:w="32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45–60 дней в пути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3.5</w:t>
            </w:r>
          </w:p>
        </w:tc>
        <w:tc>
          <w:tcPr>
            <w:tcW w:type="dxa" w:w="4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Шефмонтаж и пусконаладочная бригада JingJin/партнёра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20–30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совместно с этапом 4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t xml:space="preserve">Комплект JingJin по технологическим узлам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1800"/>
        <w:gridCol w:w="4620"/>
        <w:gridCol w:w="26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Узел</w:t>
            </w:r>
          </w:p>
        </w:tc>
        <w:tc>
          <w:tcPr>
            <w:tcW w:type="dxa" w:w="46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Оборудование JingJin</w:t>
            </w:r>
          </w:p>
        </w:tc>
        <w:tc>
          <w:tcPr>
            <w:tcW w:type="dxa" w:w="2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</w:tr>
      <w:tr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Приём/предочистка</w:t>
            </w:r>
          </w:p>
        </w:tc>
        <w:tc>
          <w:tcPr>
            <w:tcW w:type="dxa" w:w="46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Программно-управляемые фильтр-прессы с мембранным дожимом (до 60 бар), фильтровальные ткани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отсечка мехпримесей, воды, шлама</w:t>
            </w:r>
          </w:p>
        </w:tc>
      </w:tr>
      <w:tr>
        <w:tc>
          <w:tcPr>
            <w:tcW w:type="dxa" w:w="18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Дистилляция</w:t>
            </w:r>
          </w:p>
        </w:tc>
        <w:tc>
          <w:tcPr>
            <w:tcW w:type="dxa" w:w="46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Испарительные системы (вакуумные/плёночные), реакторы, сосуды под давлением</w:t>
            </w:r>
          </w:p>
        </w:tc>
        <w:tc>
          <w:tcPr>
            <w:tcW w:type="dxa" w:w="2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выделение масляных фракций</w:t>
            </w:r>
          </w:p>
        </w:tc>
      </w:tr>
      <w:tr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Доочистка</w:t>
            </w:r>
          </w:p>
        </w:tc>
        <w:tc>
          <w:tcPr>
            <w:tcW w:type="dxa" w:w="46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Реакторы с мешалками, дозирующие станции, листовые фильтры, фильтр-прессы финишной фильтрации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полировка до Group II</w:t>
            </w:r>
          </w:p>
        </w:tc>
      </w:tr>
      <w:tr>
        <w:tc>
          <w:tcPr>
            <w:tcW w:type="dxa" w:w="18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Сточные воды</w:t>
            </w:r>
          </w:p>
        </w:tc>
        <w:tc>
          <w:tcPr>
            <w:tcW w:type="dxa" w:w="46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MVR-испарительная система (&lt; 70 кВт·ч/т воды), многоэффектная установка</w:t>
            </w:r>
          </w:p>
        </w:tc>
        <w:tc>
          <w:tcPr>
            <w:tcW w:type="dxa" w:w="2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замкнутый водооборот, нулевой сброс</w:t>
            </w:r>
          </w:p>
        </w:tc>
      </w:tr>
      <w:tr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Твёрдые остатки</w:t>
            </w:r>
          </w:p>
        </w:tc>
        <w:tc>
          <w:tcPr>
            <w:tcW w:type="dxa" w:w="46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Низкотемпературная сушилка (без пыли и выбросов), шнековые дегидраторы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обезвоживание осадков/гудрона</w:t>
            </w:r>
          </w:p>
        </w:tc>
      </w:tr>
      <w:tr>
        <w:tc>
          <w:tcPr>
            <w:tcW w:type="dxa" w:w="18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Электроснабжение</w:t>
            </w:r>
          </w:p>
        </w:tc>
        <w:tc>
          <w:tcPr>
            <w:tcW w:type="dxa" w:w="46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E-House (блочная подстанция), шкафы НН/ВН (Schneider/Siemens/ABB, до 6300 А)</w:t>
            </w:r>
          </w:p>
        </w:tc>
        <w:tc>
          <w:tcPr>
            <w:tcW w:type="dxa" w:w="2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ввод «подключил-работает», сокращение СМР</w:t>
            </w:r>
          </w:p>
        </w:tc>
      </w:tr>
      <w:tr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Насосы/транспорт</w:t>
            </w:r>
          </w:p>
        </w:tc>
        <w:tc>
          <w:tcPr>
            <w:tcW w:type="dxa" w:w="46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Плунжерные насосы, шнековые/ленточные конвейеры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внутризаводская логистика</w:t>
            </w: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t xml:space="preserve">6. Этап 4. Строительно-монтажные работы (месяцы 22–32)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Подготовка площадки, фундаменты, эстакады — с закладкой мест под модули 20/30 тыс. т/год (мес. 22–26).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Резервуарный парк: сырьё 2–3 × 1000 м³, продукция 3 × 500 м³, обвалование (мес. 23–28). Парк сразу под 30 тыс. т/год.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Монтаж технологической линии модуля 1, трубопроводов, КИПиА (мес. 26–31).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Подключение E-House, электроснабжение, КНС, пожарная сигнализация (мес. 27–31).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Акт 14 (приёмка конструкций), Акт 15 (приёмка СМР) — мес. 31–32.</w:t>
      </w:r>
    </w:p>
    <w:p>
      <w:pPr>
        <w:pStyle w:val="Heading1"/>
        <w:spacing w:after="120" w:before="260"/>
      </w:pPr>
      <w:r>
        <w:t xml:space="preserve">7. Этап 5. Пусконаладка и ввод в эксплуатацию модуля 1 (месяцы 30–36)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500"/>
        <w:gridCol w:w="6220"/>
        <w:gridCol w:w="23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62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Действие</w:t>
            </w:r>
          </w:p>
        </w:tc>
        <w:tc>
          <w:tcPr>
            <w:tcW w:type="dxa" w:w="23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Срок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5.1</w:t>
            </w:r>
          </w:p>
        </w:tc>
        <w:tc>
          <w:tcPr>
            <w:tcW w:type="dxa" w:w="62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Холодные/горячие прогоны по узлам</w:t>
            </w:r>
          </w:p>
        </w:tc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30–32</w:t>
            </w:r>
          </w:p>
        </w:tc>
      </w:tr>
      <w:tr>
        <w:tc>
          <w:tcPr>
            <w:tcW w:type="dxa" w:w="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5.2</w:t>
            </w:r>
          </w:p>
        </w:tc>
        <w:tc>
          <w:tcPr>
            <w:tcW w:type="dxa" w:w="62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Комплексное опробование на сырье, выход на спецификацию Group II</w:t>
            </w:r>
          </w:p>
        </w:tc>
        <w:tc>
          <w:tcPr>
            <w:tcW w:type="dxa" w:w="2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32–35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5.3</w:t>
            </w:r>
          </w:p>
        </w:tc>
        <w:tc>
          <w:tcPr>
            <w:tcW w:type="dxa" w:w="62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Акт 16 / разрешение на эксплуатацию (разрешение за ползване)</w:t>
            </w:r>
          </w:p>
        </w:tc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34–36</w:t>
            </w:r>
          </w:p>
        </w:tc>
      </w:tr>
      <w:tr>
        <w:tc>
          <w:tcPr>
            <w:tcW w:type="dxa" w:w="5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5.4</w:t>
            </w:r>
          </w:p>
        </w:tc>
        <w:tc>
          <w:tcPr>
            <w:tcW w:type="dxa" w:w="62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Завершение REACH, лабораторная аккредитация, паспорта качества</w:t>
            </w:r>
          </w:p>
        </w:tc>
        <w:tc>
          <w:tcPr>
            <w:tcW w:type="dxa" w:w="2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32–36</w:t>
            </w:r>
          </w:p>
        </w:tc>
      </w:tr>
      <w:tr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5.5</w:t>
            </w:r>
          </w:p>
        </w:tc>
        <w:tc>
          <w:tcPr>
            <w:tcW w:type="dxa" w:w="62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Договоры с блендерами/трейдерами, первые спотовые продажи</w:t>
            </w:r>
          </w:p>
        </w:tc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мес. 33–36</w:t>
            </w: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t xml:space="preserve">8. Этап 6. Выход на мощность и масштабирование 10 → 20 → 30 тыс. т/год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Мес. 36–42 — выход на этап 1 (10 000 т/год):</w:t>
      </w:r>
      <w:r>
        <w:t xml:space="preserve"> рампа 40 % → 70 % → 100 % (≈830 т/мес). Отработка режимов, стабилизация качества, накопление сырьевой базы.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Мес. 42–54 — этап 2 (20 000 т/год):</w:t>
      </w:r>
      <w:r>
        <w:t xml:space="preserve"> установка второго модуля JingJin (изготовление/доставка ~6–9 мес.), расширение сети сбора; выход на ~1670 т/мес.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Мес. 54–66 — этап 3 (30 000 т/год, проектная):</w:t>
      </w:r>
      <w:r>
        <w:t xml:space="preserve"> третий модуль; полная загрузка ~2500 т/мес; подключение регионального сырья и импортного резерва по PIC.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Дальнейшее масштабирование — по мере необходимости:</w:t>
      </w:r>
      <w:r>
        <w:t xml:space="preserve"> каждый следующий шаг определяется законтрактованным сырьём, а не стройкой. Переход к «большому сегменту» (десятки тыс. т/мес) — отдельная стратегия импортного хаба.</w:t>
      </w:r>
    </w:p>
    <w:p>
      <w:pPr>
        <w:pStyle w:val="Heading1"/>
        <w:spacing w:after="120" w:before="260"/>
      </w:pPr>
      <w:r>
        <w:t xml:space="preserve">9. Сырьевая программа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Собственная сеть сбора</w:t>
      </w:r>
      <w:r>
        <w:t xml:space="preserve"> (ядро объёма): цистерны и пункты приёма в Софии, Пловдиве, Варне, Русе, Старой Загоре; выкуп у автосервисов, автопарков, сельхозкооперативов. Запуск с мес. 8 (параллельно разрешениям). Цена 250–300 €/т. [8]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Тендеры государственных и крупных промышленных предприятий:</w:t>
      </w:r>
      <w:r>
        <w:t xml:space="preserve"> системное участие в процедурах ЗОП на продажу отработанного масла («Мини Марица-изток», «ТЕЦ Марица изток 2», «АЕЦ Козлодуй», «Холдинг БДЖ», «Столичен електротранспорт», порты, ВиК). Качественная базовая загрузка. [10]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Договоры с организациями по оползотворяванию и импортёрами масел</w:t>
      </w:r>
      <w:r>
        <w:t xml:space="preserve"> в рамках их EPR-обязательств по Наредбе (иначе — продуктова такса). [8]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Импорт по процедуре PIC (Регламент (ЕС) 2024/1157, с 21.05.2026):</w:t>
      </w:r>
      <w:r>
        <w:t xml:space="preserve"> Турция (ОЭСР), Сербия, Северная Македония; финансовая гарантия, предварительное согласие. Резерв 15–30 % объёма, буфер на рампе этапов 2–3. [9]</w:t>
      </w:r>
    </w:p>
    <w:p>
      <w:pPr>
        <w:pStyle w:val="Heading1"/>
        <w:spacing w:after="120" w:before="260"/>
      </w:pPr>
      <w:r>
        <w:t xml:space="preserve">10. Персонал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Этап 1 (10 тыс. т/год):</w:t>
      </w:r>
      <w:r>
        <w:t xml:space="preserve"> ~22–28 человек — директор, технолог, операторы смен (8–10), лаборатория (2–3), механик/электрик/КИП (3–4), сбор/логистика (4–5), коммерция (2), эколог/ОТ (1–2), администрация (2).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Этап 3 (30 тыс. т/год):</w:t>
      </w:r>
      <w:r>
        <w:t xml:space="preserve"> ~38–45 человек (расширение смен, сбора, лаборатории и коммерции).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Обучение операторов</w:t>
      </w:r>
      <w:r>
        <w:t xml:space="preserve"> на заводе китайского партнёра в Цзинане — за 4–6 мес. до пуска (мес. 26–30).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11. Консолидированный график (квартальный)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242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24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Работа</w:t>
            </w:r>
          </w:p>
        </w:tc>
        <w:tc>
          <w:tcPr>
            <w:tcW w:type="dxa" w:w="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Q1</w:t>
            </w:r>
          </w:p>
        </w:tc>
        <w:tc>
          <w:tcPr>
            <w:tcW w:type="dxa" w:w="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Q2</w:t>
            </w:r>
          </w:p>
        </w:tc>
        <w:tc>
          <w:tcPr>
            <w:tcW w:type="dxa" w:w="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Q3</w:t>
            </w:r>
          </w:p>
        </w:tc>
        <w:tc>
          <w:tcPr>
            <w:tcW w:type="dxa" w:w="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Q4</w:t>
            </w:r>
          </w:p>
        </w:tc>
        <w:tc>
          <w:tcPr>
            <w:tcW w:type="dxa" w:w="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Q5</w:t>
            </w:r>
          </w:p>
        </w:tc>
        <w:tc>
          <w:tcPr>
            <w:tcW w:type="dxa" w:w="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Q6</w:t>
            </w:r>
          </w:p>
        </w:tc>
        <w:tc>
          <w:tcPr>
            <w:tcW w:type="dxa" w:w="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Q7</w:t>
            </w:r>
          </w:p>
        </w:tc>
        <w:tc>
          <w:tcPr>
            <w:tcW w:type="dxa" w:w="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Q8</w:t>
            </w:r>
          </w:p>
        </w:tc>
        <w:tc>
          <w:tcPr>
            <w:tcW w:type="dxa" w:w="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Q9</w:t>
            </w:r>
          </w:p>
        </w:tc>
        <w:tc>
          <w:tcPr>
            <w:tcW w:type="dxa" w:w="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Q10</w:t>
            </w:r>
          </w:p>
        </w:tc>
        <w:tc>
          <w:tcPr>
            <w:tcW w:type="dxa" w:w="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Q11+</w:t>
            </w:r>
          </w:p>
        </w:tc>
      </w:tr>
      <w:tr>
        <w:tc>
          <w:tcPr>
            <w:tcW w:type="dxa" w:w="24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Компания, площадка, ТЭО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24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ОВОС + КР (совмещённая, на 30 тыс.)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24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Разрешение на сбор/транспорт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24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REACH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24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Проектирование + разр. на строительство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24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Заказ/изготовление/доставка JingJin (модуль 1)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24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СМР и монтаж модуля 1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24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Пусконаладка, Акт 16, ввод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24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Рампа до 10 тыс. → 20 → 30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  <w:tc>
          <w:tcPr>
            <w:tcW w:type="dxa" w:w="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██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t xml:space="preserve">Q1 = первый квартал после Т0. Итого: ~30–36 месяцев до первого товарного масла (этап 1), ~54–66 месяцев до проектной мощности 30 тыс. т/год.</w:t>
      </w:r>
    </w:p>
    <w:p>
      <w:pPr>
        <w:pStyle w:val="Heading1"/>
        <w:spacing w:after="120" w:before="260"/>
      </w:pPr>
      <w:r>
        <w:t xml:space="preserve">12. Индикативная структура CAPEX (подлежит ТЭО)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4000"/>
        <w:gridCol w:w="2510"/>
        <w:gridCol w:w="251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Статья</w:t>
            </w:r>
          </w:p>
        </w:tc>
        <w:tc>
          <w:tcPr>
            <w:tcW w:type="dxa" w:w="251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Этап 1 (10 тыс. т/год)</w:t>
            </w:r>
          </w:p>
        </w:tc>
        <w:tc>
          <w:tcPr>
            <w:tcW w:type="dxa" w:w="251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До этапа 3 (30 тыс., накопл.)</w:t>
            </w:r>
          </w:p>
        </w:tc>
      </w:tr>
      <w:tr>
        <w:tc>
          <w:tcPr>
            <w:tcW w:type="dxa" w:w="4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Технологическое оборудование (JingJin + узлы)</w:t>
            </w:r>
          </w:p>
        </w:tc>
        <w:tc>
          <w:tcPr>
            <w:tcW w:type="dxa" w:w="251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~2,5–4,5 млн €</w:t>
            </w:r>
          </w:p>
        </w:tc>
        <w:tc>
          <w:tcPr>
            <w:tcW w:type="dxa" w:w="251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~5–9 млн €</w:t>
            </w:r>
          </w:p>
        </w:tc>
      </w:tr>
      <w:tr>
        <w:tc>
          <w:tcPr>
            <w:tcW w:type="dxa" w:w="4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СМР, резервуарный парк, инфраструктура (сразу под 30 тыс.)</w:t>
            </w:r>
          </w:p>
        </w:tc>
        <w:tc>
          <w:tcPr>
            <w:tcW w:type="dxa" w:w="251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~1,5–3 млн €</w:t>
            </w:r>
          </w:p>
        </w:tc>
        <w:tc>
          <w:tcPr>
            <w:tcW w:type="dxa" w:w="251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~3–6 млн €</w:t>
            </w:r>
          </w:p>
        </w:tc>
      </w:tr>
      <w:tr>
        <w:tc>
          <w:tcPr>
            <w:tcW w:type="dxa" w:w="4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Проектирование, разрешения, консультанты, REACH</w:t>
            </w:r>
          </w:p>
        </w:tc>
        <w:tc>
          <w:tcPr>
            <w:tcW w:type="dxa" w:w="251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~0,8–1,5 млн €</w:t>
            </w:r>
          </w:p>
        </w:tc>
        <w:tc>
          <w:tcPr>
            <w:tcW w:type="dxa" w:w="251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~1–2 млн €</w:t>
            </w:r>
          </w:p>
        </w:tc>
      </w:tr>
      <w:tr>
        <w:tc>
          <w:tcPr>
            <w:tcW w:type="dxa" w:w="4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Площадка (покупка/аренда)</w:t>
            </w:r>
          </w:p>
        </w:tc>
        <w:tc>
          <w:tcPr>
            <w:tcW w:type="dxa" w:w="251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~1–2 млн €</w:t>
            </w:r>
          </w:p>
        </w:tc>
        <w:tc>
          <w:tcPr>
            <w:tcW w:type="dxa" w:w="251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~1–2,5 млн €</w:t>
            </w:r>
          </w:p>
        </w:tc>
      </w:tr>
      <w:tr>
        <w:tc>
          <w:tcPr>
            <w:tcW w:type="dxa" w:w="4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Пусконаладка, обучение, оборотный капитал старта</w:t>
            </w:r>
          </w:p>
        </w:tc>
        <w:tc>
          <w:tcPr>
            <w:tcW w:type="dxa" w:w="251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~0,7–1,5 млн €</w:t>
            </w:r>
          </w:p>
        </w:tc>
        <w:tc>
          <w:tcPr>
            <w:tcW w:type="dxa" w:w="251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~1–2 млн €</w:t>
            </w:r>
          </w:p>
        </w:tc>
      </w:tr>
      <w:tr>
        <w:tc>
          <w:tcPr>
            <w:tcW w:type="dxa" w:w="4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ИТОГО (оценка)</w:t>
            </w:r>
          </w:p>
        </w:tc>
        <w:tc>
          <w:tcPr>
            <w:tcW w:type="dxa" w:w="251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~6–10 млн €</w:t>
            </w:r>
          </w:p>
        </w:tc>
        <w:tc>
          <w:tcPr>
            <w:tcW w:type="dxa" w:w="251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~12–20 млн €</w:t>
            </w:r>
          </w:p>
        </w:tc>
      </w:tr>
    </w:tbl>
    <w:p>
      <w:pPr>
        <w:spacing w:after="60"/>
      </w:pPr>
    </w:p>
    <w:p>
      <w:pPr>
        <w:pBdr>
          <w:left w:val="single" w:color="C00000" w:sz="18" w:space="12"/>
        </w:pBdr>
        <w:shd w:fill="FBE9E7" w:val="clear"/>
        <w:spacing w:after="120" w:before="120" w:line="276"/>
        <w:jc w:val="both"/>
      </w:pPr>
      <w:r>
        <w:t xml:space="preserve">CAPEX — порядковые оценки. Часть инфраструктуры (разрешения, резервуарный парк, подстанция) закладывается сразу под 30 тыс. т/год, поэтому «стоимость входа» этапа 1 включает общие для всех этапов затраты. Точные цифры — по ТЭО и по комплектации JingJin.</w:t>
      </w:r>
    </w:p>
    <w:p>
      <w:pPr>
        <w:pStyle w:val="Heading1"/>
        <w:spacing w:after="120" w:before="260"/>
      </w:pPr>
      <w:r>
        <w:t xml:space="preserve">13. Контрольные точки (stage-gates)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G1 (мес. 4):</w:t>
      </w:r>
      <w:r>
        <w:t xml:space="preserve"> площадка закреплена, ТЭО подтверждает маржу ≥ 450 €/т → решение о запуске разрешений.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G2 (мес. 12):</w:t>
      </w:r>
      <w:r>
        <w:t xml:space="preserve"> ОВОС-доклад подан, контракт с JingJin (модуль 1) подписан → точка невозврата по CAPEX.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G3 (мес. 20):</w:t>
      </w:r>
      <w:r>
        <w:t xml:space="preserve"> получено КР (на 30 тыс. т/год) → старт СМР.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G4 (мес. 35):</w:t>
      </w:r>
      <w:r>
        <w:t xml:space="preserve"> первая товарная партия Group II с паспортом качества.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G5 (мес. 42):</w:t>
      </w:r>
      <w:r>
        <w:t xml:space="preserve"> этап 1 (10 тыс. т/год) достигнут → решение о модуле этапа 2.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G6 (мес. 54–66):</w:t>
      </w:r>
      <w:r>
        <w:t xml:space="preserve"> проектная мощность 30 тыс. т/год → решение о дальнейшем масштабировании.</w:t>
      </w:r>
    </w:p>
    <w:p>
      <w:pPr>
        <w:pStyle w:val="Heading1"/>
        <w:spacing w:after="120" w:before="260"/>
      </w:pPr>
      <w:r>
        <w:t xml:space="preserve">14. Риски графика и митигация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2800"/>
        <w:gridCol w:w="1600"/>
        <w:gridCol w:w="462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Риск</w:t>
            </w:r>
          </w:p>
        </w:tc>
        <w:tc>
          <w:tcPr>
            <w:tcW w:type="dxa" w:w="1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Влияние</w:t>
            </w:r>
          </w:p>
        </w:tc>
        <w:tc>
          <w:tcPr>
            <w:tcW w:type="dxa" w:w="46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Митигация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Затягивание ОВОС/КР из-за общественных слушаний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+4–8 мес.</w:t>
            </w:r>
          </w:p>
        </w:tc>
        <w:tc>
          <w:tcPr>
            <w:tcW w:type="dxa" w:w="46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ранняя коммуникация с общиной, размещение в действующей промзоне, совмещённая процедура [1]</w:t>
            </w:r>
          </w:p>
        </w:tc>
      </w:tr>
      <w:tr>
        <w:tc>
          <w:tcPr>
            <w:tcW w:type="dxa" w:w="28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Задержка поставки оборудования</w:t>
            </w:r>
          </w:p>
        </w:tc>
        <w:tc>
          <w:tcPr>
            <w:tcW w:type="dxa" w:w="1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+2–3 мес.</w:t>
            </w:r>
          </w:p>
        </w:tc>
        <w:tc>
          <w:tcPr>
            <w:tcW w:type="dxa" w:w="46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штрафные санкции в контракте, FAT на заводе, прямое судно в Бургас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ATEX/CE-несоответствие китайских узлов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переделки на месте</w:t>
            </w:r>
          </w:p>
        </w:tc>
        <w:tc>
          <w:tcPr>
            <w:tcW w:type="dxa" w:w="46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требования в ТЗ (п. 3.1), аудит европейским инспектором до отгрузки</w:t>
            </w:r>
          </w:p>
        </w:tc>
      </w:tr>
      <w:tr>
        <w:tc>
          <w:tcPr>
            <w:tcW w:type="dxa" w:w="28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Недобор сырья на рампе</w:t>
            </w:r>
          </w:p>
        </w:tc>
        <w:tc>
          <w:tcPr>
            <w:tcW w:type="dxa" w:w="1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замедление выхода на мощность</w:t>
            </w:r>
          </w:p>
        </w:tc>
        <w:tc>
          <w:tcPr>
            <w:tcW w:type="dxa" w:w="46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сеть сбора с мес. 8; тендеры госпредприятий; импортный контур PIC как резерв [9][10]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Рост CAPEX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—</w:t>
            </w:r>
          </w:p>
        </w:tc>
        <w:tc>
          <w:tcPr>
            <w:tcW w:type="dxa" w:w="46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фикс-цена EPC по СМР, резерв 10 %, поэтапное вложение по модулям</w:t>
            </w: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t xml:space="preserve">Источники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[1] </w:t>
      </w:r>
      <w:r>
        <w:rPr>
          <w:color w:val="404040"/>
          <w:sz w:val="18"/>
          <w:szCs w:val="18"/>
        </w:rPr>
        <w:t xml:space="preserve">РИОСВ Плевен — Превантивна дейност (практика ОВОС/КР). https://riew-pleven.eu/doc/docladiOS/2019/4.Prevantivna%20deynost.pdf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[2] </w:t>
      </w:r>
      <w:r>
        <w:rPr>
          <w:color w:val="404040"/>
          <w:sz w:val="18"/>
          <w:szCs w:val="18"/>
        </w:rPr>
        <w:t xml:space="preserve">МОСВ — Комплексни разрешителни, законодателство. https://www.moew.government.bg/bg/prevantivna-dejnost/kompleksni-razreshitelni/zakonodatelstvo/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[3] </w:t>
      </w:r>
      <w:r>
        <w:rPr>
          <w:color w:val="404040"/>
          <w:sz w:val="18"/>
          <w:szCs w:val="18"/>
        </w:rPr>
        <w:t xml:space="preserve">Бизнес каталог — „Полихим-СС“ ЕООД, КР № 440-N2/2024 (прецедент). https://www.biznes-katalog.bg/полихим-сс-фирма2523.html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[4] </w:t>
      </w:r>
      <w:r>
        <w:rPr>
          <w:color w:val="404040"/>
          <w:sz w:val="18"/>
          <w:szCs w:val="18"/>
        </w:rPr>
        <w:t xml:space="preserve">МОСВ — Наредба за условията и реда за извършване на ОВОС. https://www.moew.government.bg/bg/naredba-za-usloviyata-i-reda-za-izvurshvane-na-ocenka-na-vuzdejstvieto-vurhu-okolnata-sreda/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[5] </w:t>
      </w:r>
      <w:r>
        <w:rPr>
          <w:color w:val="404040"/>
          <w:sz w:val="18"/>
          <w:szCs w:val="18"/>
        </w:rPr>
        <w:t xml:space="preserve">МОСВ — Закон за управление на отпадъците (ЗУО). https://www.moew.government.bg/wp-content/uploads/filebase/Waste/Legislation/Zakoni/ZUO.pdf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[6] </w:t>
      </w:r>
      <w:r>
        <w:rPr>
          <w:color w:val="404040"/>
          <w:sz w:val="18"/>
          <w:szCs w:val="18"/>
        </w:rPr>
        <w:t xml:space="preserve">balbok.com — Разрешение за дейности с отпадъци. http://www.balbok.com/bg/clients/Razreshenie-za-deinosti-s-otpadytsi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[7] </w:t>
      </w:r>
      <w:r>
        <w:rPr>
          <w:color w:val="404040"/>
          <w:sz w:val="18"/>
          <w:szCs w:val="18"/>
        </w:rPr>
        <w:t xml:space="preserve">Eco Oil Resource — Регулация на съхранение и транспорт на отработени масла. https://oilresource.bg/regulaciq-na-suhranqvane-transportirane-otraboteni-masla/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[8] </w:t>
      </w:r>
      <w:r>
        <w:rPr>
          <w:color w:val="404040"/>
          <w:sz w:val="18"/>
          <w:szCs w:val="18"/>
        </w:rPr>
        <w:t xml:space="preserve">МОСВ — Наредба за отработените масла и отпадъчните нефтопродукти (EPR). https://www.moew.government.bg/wp-content/uploads/filebase/Waste/Legislation/Naredbi/waste/Naredba_za_otrabotenite_masla_i_otpadycnite_neftoprodukti.pdf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[9] </w:t>
      </w:r>
      <w:r>
        <w:rPr>
          <w:color w:val="404040"/>
          <w:sz w:val="18"/>
          <w:szCs w:val="18"/>
        </w:rPr>
        <w:t xml:space="preserve">EC Environment / LexisNexis — Регламент (ЕС) 2024/1157 (PIC, импорт). https://environment.ec.europa.eu/topics/waste-and-recycling/waste-shipments_en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[10] </w:t>
      </w:r>
      <w:r>
        <w:rPr>
          <w:color w:val="404040"/>
          <w:sz w:val="18"/>
          <w:szCs w:val="18"/>
        </w:rPr>
        <w:t xml:space="preserve">Мини Марица-изток ЕАД; Столичен електротранспорт ЕАД — тендери за продажба на отработени масла (АОП). https://www.aop.bg/</w:t>
      </w:r>
    </w:p>
    <w:p>
      <w:pPr>
        <w:spacing w:after="60"/>
      </w:pPr>
    </w:p>
    <w:p>
      <w:pPr>
        <w:spacing w:after="120" w:line="276"/>
        <w:jc w:val="both"/>
      </w:pPr>
      <w:r>
        <w:rPr>
          <w:i/>
          <w:iCs/>
          <w:color w:val="595959"/>
          <w:sz w:val="18"/>
          <w:szCs w:val="18"/>
        </w:rPr>
        <w:t xml:space="preserve">Документ подготовлен на основе действующего законодательства Болгарии и ЕС по состоянию на сентябрь 2026 г. Сроки процедур указаны по нормативам и практике; подлежат уточнению после встречи с РИОСВ-Бургас и завершения ТЭО.</w:t>
      </w:r>
    </w:p>
    <w:sectPr>
      <w:pgSz w:w="11906" w:h="16838" w:orient="portrait"/>
      <w:pgMar w:top="1134" w:right="1080" w:bottom="113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rPr>
      <w:b/>
      <w:bCs/>
      <w:color w:val="2E4C7E"/>
      <w:sz w:val="23"/>
      <w:szCs w:val="23"/>
    </w:rPr>
  </w:style>
  <w:style w:type="paragraph" w:styleId="Heading3">
    <w:name w:val="Heading 3"/>
    <w:basedOn w:val="Normal"/>
    <w:next w:val="Normal"/>
    <w:qFormat/>
    <w:rPr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реализации проекта — завод регенерации Group II, Бургас</dc:title>
  <dc:creator>Проектная группа</dc:creator>
  <cp:lastModifiedBy>Un-named</cp:lastModifiedBy>
  <cp:revision>1</cp:revision>
  <dcterms:created xsi:type="dcterms:W3CDTF">2026-09-19T09:36:16.595Z</dcterms:created>
  <dcterms:modified xsi:type="dcterms:W3CDTF">2026-09-19T09:36:16.595Z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