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ЗАПРОС ДАННЫХ ПОСТАВЩИКУ ОБОРУДОВАНИЯ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Завод регенерации отработанного масла в базовое масло API Group II (Болгария). Данные необходимы для расчёта экономики проекта. Просьба ответить по всем двенадцати пунктам с указанием цифр.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1. </w:t>
      </w:r>
      <w:r>
        <w:rPr>
          <w:b/>
          <w:bCs/>
          <w:sz w:val="22"/>
          <w:szCs w:val="22"/>
        </w:rPr>
        <w:t xml:space="preserve">Стоимость оборудования «под ключ».</w:t>
      </w:r>
    </w:p>
    <w:p>
      <w:pPr>
        <w:spacing w:after="60" w:line="264"/>
      </w:pPr>
      <w:r>
        <w:t xml:space="preserve">Цена полного комплекта на 10 000, 20 000 и 30 000 т/год по сырью. Перечень основного оборудования в комплекте и что не входит. Цена EXW завод и CIF порт Бургас.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2. </w:t>
      </w:r>
      <w:r>
        <w:rPr>
          <w:b/>
          <w:bCs/>
          <w:sz w:val="22"/>
          <w:szCs w:val="22"/>
        </w:rPr>
        <w:t xml:space="preserve">Выход продукции.</w:t>
      </w:r>
    </w:p>
    <w:p>
      <w:pPr>
        <w:spacing w:after="60" w:line="264"/>
      </w:pPr>
      <w:r>
        <w:t xml:space="preserve">Из 1 тонны отработанного масла: сколько товарного базового масла (% и кг), сколько газойлевой/лёгкой фракции, сколько тяжёлого остатка. Фактические цифры с вашего действующего завода.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3. </w:t>
      </w:r>
      <w:r>
        <w:rPr>
          <w:b/>
          <w:bCs/>
          <w:sz w:val="22"/>
          <w:szCs w:val="22"/>
        </w:rPr>
        <w:t xml:space="preserve">Класс и подтверждение качества.</w:t>
      </w:r>
    </w:p>
    <w:p>
      <w:pPr>
        <w:spacing w:after="60" w:line="264"/>
      </w:pPr>
      <w:r>
        <w:t xml:space="preserve">Продукт — Group II или Group I. Паспорт качества базового масла (содержание серы, насыщенных углеводородов, индекс вязкости). Образец продукта для анализа в независимой лаборатории.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4. </w:t>
      </w:r>
      <w:r>
        <w:rPr>
          <w:b/>
          <w:bCs/>
          <w:sz w:val="22"/>
          <w:szCs w:val="22"/>
        </w:rPr>
        <w:t xml:space="preserve">Энергозатраты на 1 тонну переработки.</w:t>
      </w:r>
    </w:p>
    <w:p>
      <w:pPr>
        <w:spacing w:after="60" w:line="264"/>
      </w:pPr>
      <w:r>
        <w:t xml:space="preserve">Электроэнергия (кВт·ч), топливо/газ/пар (вид и количество). Установленная электрическая мощность завода (МВт).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5. </w:t>
      </w:r>
      <w:r>
        <w:rPr>
          <w:b/>
          <w:bCs/>
          <w:sz w:val="22"/>
          <w:szCs w:val="22"/>
        </w:rPr>
        <w:t xml:space="preserve">Реагенты и расходники на 1 тонну переработки.</w:t>
      </w:r>
    </w:p>
    <w:p>
      <w:pPr>
        <w:spacing w:after="60" w:line="264"/>
      </w:pPr>
      <w:r>
        <w:t xml:space="preserve">Адсорбент/глина, катализатор, химикаты — расход, цена, порядок закупки (ваша поставка или свободный рынок).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6. </w:t>
      </w:r>
      <w:r>
        <w:rPr>
          <w:b/>
          <w:bCs/>
          <w:sz w:val="22"/>
          <w:szCs w:val="22"/>
        </w:rPr>
        <w:t xml:space="preserve">Персонал.</w:t>
      </w:r>
    </w:p>
    <w:p>
      <w:pPr>
        <w:spacing w:after="60" w:line="264"/>
      </w:pPr>
      <w:r>
        <w:t xml:space="preserve">Количество человек по сменам и всего. Требуемая квалификация.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7. </w:t>
      </w:r>
      <w:r>
        <w:rPr>
          <w:b/>
          <w:bCs/>
          <w:sz w:val="22"/>
          <w:szCs w:val="22"/>
        </w:rPr>
        <w:t xml:space="preserve">Сертификация оборудования для ЕС.</w:t>
      </w:r>
    </w:p>
    <w:p>
      <w:pPr>
        <w:spacing w:after="60" w:line="264"/>
      </w:pPr>
      <w:r>
        <w:t xml:space="preserve">Маркировка CE, ATEX (взрывозащита), PED (сосуды под давлением, 2014/68/EU). Опыт поставки установок в страны ЕС. Что нужно доработать для соответствия нормам ЕС и за чей счёт.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8. </w:t>
      </w:r>
      <w:r>
        <w:rPr>
          <w:b/>
          <w:bCs/>
          <w:sz w:val="22"/>
          <w:szCs w:val="22"/>
        </w:rPr>
        <w:t xml:space="preserve">Технология Group II и соответствие нормам ЕС.</w:t>
      </w:r>
    </w:p>
    <w:p>
      <w:pPr>
        <w:spacing w:after="60" w:line="264"/>
      </w:pPr>
      <w:r>
        <w:t xml:space="preserve">По какой технологии достигается Group II — вакуумная дистилляция + адсорбционная доочистка или с узлом гидроочистки. Соответствие Group II по классификации API 1509 (действует в ЕС): насыщенные ≥90 %, сера ≤0,03 %, индекс вязкости 80–120. Стабильность этих параметров на нашем (более загрязнённом) сырье.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9. </w:t>
      </w:r>
      <w:r>
        <w:rPr>
          <w:b/>
          <w:bCs/>
          <w:sz w:val="22"/>
          <w:szCs w:val="22"/>
        </w:rPr>
        <w:t xml:space="preserve">Требования к производственной площадке и инфраструктуре.</w:t>
      </w:r>
    </w:p>
    <w:p>
      <w:pPr>
        <w:spacing w:after="60" w:line="264"/>
      </w:pPr>
      <w:r>
        <w:t xml:space="preserve">Минимальная площадь участка (га) для мощности 10 000 / 20 000 / 30 000 т/год, включая резервуарный парк и запас под расширение. Требуемая электрическая мощность (МВт). Потребность и источник воды, требования к очистке и сбросу стоков. Потребность в газе/топливе и паре. Требуемый объём резервуарного парка (сырьё и готовый продукт). Подъездные пути (авто, ж/д тупик), близость к порту. Необходимая санитарно-защитная зона (расстояние до жилья). Нагрузки на фундаменты и габариты/вес крупнейших аппаратов для монтажа.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10. </w:t>
      </w:r>
      <w:r>
        <w:rPr>
          <w:b/>
          <w:bCs/>
          <w:sz w:val="22"/>
          <w:szCs w:val="22"/>
        </w:rPr>
        <w:t xml:space="preserve">Требования к входному сырью.</w:t>
      </w:r>
    </w:p>
    <w:p>
      <w:pPr>
        <w:spacing w:after="60" w:line="264"/>
      </w:pPr>
      <w:r>
        <w:t xml:space="preserve">Какое отработанное масло принимает установка: максимальное содержание воды, механических примесей, хлора и PCB, диапазон вязкости. Необходимая предварительная подготовка сырья. Как изменяются выход и качество продукта при более загрязнённом сырье.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11. </w:t>
      </w:r>
      <w:r>
        <w:rPr>
          <w:b/>
          <w:bCs/>
          <w:sz w:val="22"/>
          <w:szCs w:val="22"/>
        </w:rPr>
        <w:t xml:space="preserve">Загрузка и обслуживание.</w:t>
      </w:r>
    </w:p>
    <w:p>
      <w:pPr>
        <w:spacing w:after="60" w:line="264"/>
      </w:pPr>
      <w:r>
        <w:t xml:space="preserve">Фактическое количество рабочих суток в году (с учётом плановых остановок). Межремонтные интервалы и ресурс ключевых узлов. Ресурс/срок службы адсорбента и катализатора. Годовые затраты на ТОиР.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20" w:before="170" w:line="268"/>
      </w:pPr>
      <w:r>
        <w:rPr>
          <w:b/>
          <w:bCs/>
          <w:color w:val="1F3864"/>
          <w:sz w:val="23"/>
          <w:szCs w:val="23"/>
        </w:rPr>
        <w:t xml:space="preserve">12. </w:t>
      </w:r>
      <w:r>
        <w:rPr>
          <w:b/>
          <w:bCs/>
          <w:sz w:val="22"/>
          <w:szCs w:val="22"/>
        </w:rPr>
        <w:t xml:space="preserve">Отходы производства.</w:t>
      </w:r>
    </w:p>
    <w:p>
      <w:pPr>
        <w:spacing w:after="60" w:line="264"/>
      </w:pPr>
      <w:r>
        <w:t xml:space="preserve">Количество и вид отходов на 1 тонну переработки (отработанный адсорбент, шлам, тяжёлый остаток/гудрон), их состав и класс опасности. Способ утилизации в ЕС определяем сами — от вас нужны только объёмы и характеристики.</w:t>
      </w:r>
    </w:p>
    <w:p>
      <w:pPr>
        <w:pBdr>
          <w:bottom w:val="dotted" w:color="BBBBBB" w:sz="4" w:space="3"/>
        </w:pBdr>
        <w:spacing w:after="80" w:line="300"/>
      </w:pPr>
      <w:r>
        <w:rPr>
          <w:color w:val="999999"/>
          <w:sz w:val="19"/>
          <w:szCs w:val="19"/>
        </w:rPr>
        <w:t xml:space="preserve">Ответ:</w:t>
      </w:r>
    </w:p>
    <w:p>
      <w:pPr>
        <w:spacing w:after="60"/>
      </w:pP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По каждой цифре указывайте: факт по вашему заводу / гарантия / оценка, и валюту.</w:t>
      </w: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b/>
      <w:bCs/>
      <w:color w:val="2E4C7E"/>
      <w:sz w:val="23"/>
      <w:szCs w:val="23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данных поставщику оборудования</dc:title>
  <dc:creator>Проектная группа</dc:creator>
  <cp:lastModifiedBy>Un-named</cp:lastModifiedBy>
  <cp:revision>1</cp:revision>
  <dcterms:created xsi:type="dcterms:W3CDTF">2026-09-19T10:30:37.906Z</dcterms:created>
  <dcterms:modified xsi:type="dcterms:W3CDTF">2026-09-19T10:30:37.906Z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