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Complyport – Initial Level Three Offer vs Final Proposal</w:t>
      </w:r>
    </w:p>
    <w:p>
      <w:pPr>
        <w:spacing w:after="10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Factual comparison prepared for Hypergate Ltd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Sources: </w:t>
      </w:r>
      <w:r>
        <w:rPr>
          <w:rFonts w:ascii="Arial" w:cs="Arial" w:eastAsia="Arial" w:hAnsi="Arial"/>
          <w:sz w:val="19"/>
          <w:szCs w:val="19"/>
        </w:rPr>
        <w:t xml:space="preserve">Initial – Fee Indication email (Konstantina Pastellidou) and Appendix A – Authorisation Support (Level Three column only). Final – Authorisation Support Proposal, ref. 528746371285/211026, dated 21 October 2026.</w:t>
      </w: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Document status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  <w:gridCol w:w="570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Initial (Fee Indication + Appendix A)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Final Proposal (21.10.2026)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Nature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“Indicative only… does not constitute… a Proposal, offer or commitment of any kind”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Proposal for Services; forms the agreement together with Terms of Business V32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Validity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stated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calendar days from issue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Signatory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Konstantina Pastellidou, Assistant Director, Head of Authorisations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Paul Grainger, Chairman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Engagement lead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stated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Konstantina Pastellidou; oversight by Alla Konnikov, Managing Director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Fees (excluding VAT)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  <w:gridCol w:w="570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Initial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Final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PERG Review – formal written report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£4,200 (12 h × £350)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£4,200 (12 h × £350)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PERG Review – summary email option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£2,800 (8 h × £350)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offered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Application support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£38,000–£42,000 (Level Three)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£34,200 (“10% discount applied”)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Additional post-submission support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Via add-on / rate card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£350 per hour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FCA interviews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Add-on: £2,000 + VAT per interview, including preparation and attendance; discounts possible for several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Interview preparation excluded; available as Additional Services at hourly rates “unless otherwise agreed”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Resourced SMF16/SMF17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included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Optional: £6,000/month pre-authorisation (4 days/month); £8,500/month post-authorisation (8 days/month)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Hourly rates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stated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£300 (Consultant) to £600 (CEO)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Urgent rate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stated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£500/hour (only where agreed in advance)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Scope of application support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  <w:gridCol w:w="570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Initial – Level Three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Final Proposal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Application documentation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“Full drafting of required documentation as per the Application form and enhanced operational documentation”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Complyport “will assist with drafting the Regulatory Business Plan” (4 listed areas). Policies “which may include (if and as required)”: Compliance Monitoring Programme; SMF and Controller forms; Company/Group Structure and Close Links; Complaints Policy; Financial Crime Prevention Framework. The list is “indicative”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Cryptoasset activity-specific documents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separately addressed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“including cryptoasset activity-specific requirements, falling outside the agreed scope will be subject to separate agreement and additional fees”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Gap analysis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“Included as part of the drafting”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mentioned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Operational requirements support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“Yes. This includes… completing the Business Continuity and Wind Down pack”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mentioned. Readiness requirements (staffing, systems, premises) stated as the Applicant’s responsibility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Financial projections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separately addressed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Complyport “will provide a template and assist the Applicant to provide” 3-year monthly projections (balance sheet, P&amp;L, cash flow, regulatory capital)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FCA Connect completion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separately addressed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Prepare and complete relevant sections, including narrative responses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FCA PASS meeting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hours, including preparation and attendance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hours, including preparation and attendance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Audit / consistency checks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FCA Connect submission review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FCA Connect submission support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Yes. “The Applicant will remain responsible for reviewing, approving and formally submitting the application”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FCA feedback support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rounds, capped at 10 hours per round, no roll-over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rounds, capped at 10 hours per round, no roll-over; beyond that £350/hour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Communication with third-party advisers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“If required”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mentioned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Outsourcing / third-party agreements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addressed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 be provided by the Applicant; not Complyport’s responsibility “unless we agree otherwise”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Exclusions stated only in the Final Proposal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Preparing senior management or controllers for FCA interviews.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Specialised due diligence, for example “relating to complex ownership group structures”.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Support towards meeting Threshold Conditions beyond that specifically included.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Support in Hypergate’s existing operational or regulatory matters.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Work if the application is determined by the Regulatory Transactions Committee or Regulatory Decisions Committee (charged at hourly rates).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Incorporation fees, FCA application fees, accounting and auditing fees.</w:t>
      </w: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Payment and contractual terms (Final Proposal only; none stated in the Initial offer)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PERG fee: </w:t>
      </w:r>
      <w:r>
        <w:rPr>
          <w:rFonts w:ascii="Arial" w:cs="Arial" w:eastAsia="Arial" w:hAnsi="Arial"/>
          <w:sz w:val="19"/>
          <w:szCs w:val="19"/>
        </w:rPr>
        <w:t xml:space="preserve">paid in full in advance and held until the project is complete.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Application fee: </w:t>
      </w:r>
      <w:r>
        <w:rPr>
          <w:rFonts w:ascii="Arial" w:cs="Arial" w:eastAsia="Arial" w:hAnsi="Arial"/>
          <w:sz w:val="19"/>
          <w:szCs w:val="19"/>
        </w:rPr>
        <w:t xml:space="preserve">50% (£17,100) on signing. The remaining 50% is invoiced at the Consistency Checks stage and must be paid before submission. Invoices are payable within 7 business days.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Termination before submission: </w:t>
      </w:r>
      <w:r>
        <w:rPr>
          <w:rFonts w:ascii="Arial" w:cs="Arial" w:eastAsia="Arial" w:hAnsi="Arial"/>
          <w:sz w:val="19"/>
          <w:szCs w:val="19"/>
        </w:rPr>
        <w:t xml:space="preserve">minimum fee of £5,000, plus hours worked up to the fee estimate. The proposal states it is “likely… the full amount of fees will fall due.”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Withdrawal or “minded to refuse”: </w:t>
      </w:r>
      <w:r>
        <w:rPr>
          <w:rFonts w:ascii="Arial" w:cs="Arial" w:eastAsia="Arial" w:hAnsi="Arial"/>
          <w:sz w:val="19"/>
          <w:szCs w:val="19"/>
        </w:rPr>
        <w:t xml:space="preserve">Complyport may charge for work already done and not yet invoiced.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Change of scope or delays: </w:t>
      </w:r>
      <w:r>
        <w:rPr>
          <w:rFonts w:ascii="Arial" w:cs="Arial" w:eastAsia="Arial" w:hAnsi="Arial"/>
          <w:sz w:val="19"/>
          <w:szCs w:val="19"/>
        </w:rPr>
        <w:t xml:space="preserve">the fee estimate “may no longer be accurate”. No additional work without prior written approval.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 response from Hypergate: </w:t>
      </w:r>
      <w:r>
        <w:rPr>
          <w:rFonts w:ascii="Arial" w:cs="Arial" w:eastAsia="Arial" w:hAnsi="Arial"/>
          <w:sz w:val="19"/>
          <w:szCs w:val="19"/>
        </w:rPr>
        <w:t xml:space="preserve">after 3 written reminders over 30 days, the engagement may be treated as terminated by Hypergate, with no refund.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Missing information: </w:t>
      </w:r>
      <w:r>
        <w:rPr>
          <w:rFonts w:ascii="Arial" w:cs="Arial" w:eastAsia="Arial" w:hAnsi="Arial"/>
          <w:sz w:val="19"/>
          <w:szCs w:val="19"/>
        </w:rPr>
        <w:t xml:space="preserve">documents not provided within 2 weeks are marked as missing, and later delay may incur additional costs.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Recommencement: </w:t>
      </w:r>
      <w:r>
        <w:rPr>
          <w:rFonts w:ascii="Arial" w:cs="Arial" w:eastAsia="Arial" w:hAnsi="Arial"/>
          <w:sz w:val="19"/>
          <w:szCs w:val="19"/>
        </w:rPr>
        <w:t xml:space="preserve">“will most likely carry recommencement fees.”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Liability: </w:t>
      </w:r>
      <w:r>
        <w:rPr>
          <w:rFonts w:ascii="Arial" w:cs="Arial" w:eastAsia="Arial" w:hAnsi="Arial"/>
          <w:sz w:val="19"/>
          <w:szCs w:val="19"/>
        </w:rPr>
        <w:t xml:space="preserve">limited under clause 9 of the Terms of Business. Hypergate keeps ultimate responsibility for regulatory compliance.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Resourced SMF16/17: </w:t>
      </w:r>
      <w:r>
        <w:rPr>
          <w:rFonts w:ascii="Arial" w:cs="Arial" w:eastAsia="Arial" w:hAnsi="Arial"/>
          <w:sz w:val="19"/>
          <w:szCs w:val="19"/>
        </w:rPr>
        <w:t xml:space="preserve">minimum term of 6 months from signing, then 3 months’ notice; deposit equal to 3 months’ fees, invoiced monthly in advance; up to 3 candidates are proposed, and if all are rejected the engagement is treated as terminated; Complyport may terminate immediately, with no replacement, if the post-authorisation process “defaults”.</w:t>
      </w: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Other information stated only in the Final Proposal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Professional indemnity insurance of £5,000,000.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Bidder declaration: no material pending litigation, no regulatory enforcement in the past 5 years, no sanctions exposure.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Data accessed exclusively within the EU/UK.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Awards and recognitions listed for 2023–2025, including Chainalysis Gold Tier Investigative Partner (2021–present) and the National Police Chiefs’ Council Cryptocurrency Storage Solution Partner (2020–present).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Readiness requirements at submission (5 points: staffing, FCA interviews, senior personnel’s knowledge of the business plan, fully operational systems, premises/hardware/software matching the application) are stated to be “your responsibility”.</w:t>
      </w:r>
    </w:p>
    <w:sectPr>
      <w:footerReference w:type="default" r:id="rId6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Complyport – Initial vs Final · Confidential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2026-10-22T13:11:37.816Z</dcterms:created>
  <dcterms:modified xsi:type="dcterms:W3CDTF">2026-10-22T13:11:37.837Z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