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1B" w:rsidRDefault="00101D44" w:rsidP="00101D4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01D44">
        <w:rPr>
          <w:rFonts w:ascii="Times New Roman" w:hAnsi="Times New Roman" w:cs="Times New Roman"/>
          <w:b/>
          <w:sz w:val="44"/>
          <w:szCs w:val="44"/>
        </w:rPr>
        <w:t>Анализ деятельности торговой сети</w:t>
      </w:r>
    </w:p>
    <w:tbl>
      <w:tblPr>
        <w:tblStyle w:val="a7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6696"/>
      </w:tblGrid>
      <w:tr w:rsidR="0095383D" w:rsidTr="0095383D">
        <w:trPr>
          <w:trHeight w:val="2754"/>
        </w:trPr>
        <w:tc>
          <w:tcPr>
            <w:tcW w:w="8909" w:type="dxa"/>
          </w:tcPr>
          <w:p w:rsidR="00D31050" w:rsidRPr="00D31050" w:rsidRDefault="00D31050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Pr="00D31050">
              <w:rPr>
                <w:rFonts w:cs="Times New Roman"/>
                <w:b/>
                <w:sz w:val="20"/>
                <w:szCs w:val="20"/>
              </w:rPr>
              <w:t>Данные о продажах и торговых объектах с 2008 по 2013 год</w:t>
            </w:r>
          </w:p>
          <w:tbl>
            <w:tblPr>
              <w:tblW w:w="8846" w:type="dxa"/>
              <w:tblInd w:w="93" w:type="dxa"/>
              <w:tblLook w:val="04A0" w:firstRow="1" w:lastRow="0" w:firstColumn="1" w:lastColumn="0" w:noHBand="0" w:noVBand="1"/>
            </w:tblPr>
            <w:tblGrid>
              <w:gridCol w:w="960"/>
              <w:gridCol w:w="1749"/>
              <w:gridCol w:w="1534"/>
              <w:gridCol w:w="1617"/>
              <w:gridCol w:w="1617"/>
              <w:gridCol w:w="1369"/>
            </w:tblGrid>
            <w:tr w:rsidR="0095383D" w:rsidRPr="00101D44" w:rsidTr="002A33E4">
              <w:trPr>
                <w:trHeight w:val="6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  Год</w:t>
                  </w:r>
                </w:p>
              </w:tc>
              <w:tc>
                <w:tcPr>
                  <w:tcW w:w="17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D31050" w:rsidRPr="00D31050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Объем продаж, </w:t>
                  </w:r>
                  <w:r w:rsidRPr="00D31050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$</w:t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Количество супермаркетов, </w:t>
                  </w:r>
                  <w:proofErr w:type="spellStart"/>
                  <w:proofErr w:type="gramStart"/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  <w:tc>
                <w:tcPr>
                  <w:tcW w:w="16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Количество магазинов, </w:t>
                  </w:r>
                  <w:proofErr w:type="spellStart"/>
                  <w:proofErr w:type="gramStart"/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  <w:tc>
                <w:tcPr>
                  <w:tcW w:w="16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Количество торговых секций, </w:t>
                  </w:r>
                  <w:proofErr w:type="spellStart"/>
                  <w:proofErr w:type="gramStart"/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Всего торговых объектов, </w:t>
                  </w:r>
                  <w:proofErr w:type="spellStart"/>
                  <w:proofErr w:type="gramStart"/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</w:tr>
            <w:tr w:rsidR="0095383D" w:rsidRPr="00101D44" w:rsidTr="002A33E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  </w:t>
                  </w: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2008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4 067 580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95383D" w:rsidRPr="00101D44" w:rsidTr="002A33E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2009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6 568 000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</w:tr>
            <w:tr w:rsidR="0095383D" w:rsidRPr="00101D44" w:rsidTr="002A33E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2010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16 578 900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6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</w:tr>
            <w:tr w:rsidR="0095383D" w:rsidRPr="00101D44" w:rsidTr="002A33E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2011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22 219 947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17</w:t>
                  </w:r>
                </w:p>
              </w:tc>
            </w:tr>
            <w:tr w:rsidR="0095383D" w:rsidRPr="00101D44" w:rsidTr="002A33E4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2012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24 083 914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16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23</w:t>
                  </w:r>
                </w:p>
              </w:tc>
            </w:tr>
            <w:tr w:rsidR="0095383D" w:rsidRPr="00101D44" w:rsidTr="002A33E4">
              <w:trPr>
                <w:trHeight w:val="32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2013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28 136 461</w:t>
                  </w:r>
                </w:p>
              </w:tc>
              <w:tc>
                <w:tcPr>
                  <w:tcW w:w="15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18</w:t>
                  </w:r>
                </w:p>
              </w:tc>
              <w:tc>
                <w:tcPr>
                  <w:tcW w:w="1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31050" w:rsidRPr="00101D44" w:rsidRDefault="00D31050" w:rsidP="00D310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01D44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25</w:t>
                  </w:r>
                </w:p>
              </w:tc>
            </w:tr>
          </w:tbl>
          <w:p w:rsidR="00D31050" w:rsidRDefault="00D31050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6792" w:type="dxa"/>
          </w:tcPr>
          <w:p w:rsidR="00D31050" w:rsidRPr="00D31050" w:rsidRDefault="00D31050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D31050">
              <w:rPr>
                <w:rFonts w:cs="Times New Roman"/>
                <w:b/>
                <w:sz w:val="20"/>
                <w:szCs w:val="20"/>
              </w:rPr>
              <w:t>Рост числа сотрудников компании</w:t>
            </w:r>
          </w:p>
          <w:p w:rsidR="00D31050" w:rsidRDefault="00D31050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135BBC" wp14:editId="25B330A3">
                  <wp:extent cx="3857625" cy="1609725"/>
                  <wp:effectExtent l="0" t="0" r="9525" b="9525"/>
                  <wp:docPr id="53" name="Диаграмма 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5383D" w:rsidTr="0095383D">
        <w:tc>
          <w:tcPr>
            <w:tcW w:w="8909" w:type="dxa"/>
          </w:tcPr>
          <w:p w:rsidR="0082556A" w:rsidRDefault="0082556A" w:rsidP="00D31050">
            <w:pPr>
              <w:pStyle w:val="a3"/>
              <w:keepNext/>
              <w:spacing w:line="240" w:lineRule="auto"/>
              <w:ind w:left="0" w:firstLine="1276"/>
              <w:rPr>
                <w:rFonts w:cs="Times New Roman"/>
                <w:b/>
                <w:sz w:val="20"/>
                <w:szCs w:val="20"/>
              </w:rPr>
            </w:pPr>
          </w:p>
          <w:p w:rsidR="0095383D" w:rsidRPr="00D31050" w:rsidRDefault="0095383D" w:rsidP="00D31050">
            <w:pPr>
              <w:pStyle w:val="a3"/>
              <w:keepNext/>
              <w:spacing w:line="240" w:lineRule="auto"/>
              <w:ind w:left="0" w:firstLine="1276"/>
              <w:rPr>
                <w:rFonts w:cs="Times New Roman"/>
                <w:b/>
                <w:sz w:val="20"/>
                <w:szCs w:val="20"/>
              </w:rPr>
            </w:pPr>
            <w:r w:rsidRPr="00D31050">
              <w:rPr>
                <w:rFonts w:cs="Times New Roman"/>
                <w:b/>
                <w:sz w:val="20"/>
                <w:szCs w:val="20"/>
              </w:rPr>
              <w:t xml:space="preserve">Зависимость объемов продаж в компании </w:t>
            </w:r>
          </w:p>
          <w:p w:rsidR="0095383D" w:rsidRPr="00D31050" w:rsidRDefault="0095383D" w:rsidP="00D31050">
            <w:pPr>
              <w:pStyle w:val="a3"/>
              <w:keepNext/>
              <w:spacing w:line="240" w:lineRule="auto"/>
              <w:ind w:left="0" w:firstLine="1276"/>
              <w:rPr>
                <w:b/>
                <w:sz w:val="20"/>
                <w:szCs w:val="20"/>
              </w:rPr>
            </w:pPr>
            <w:r w:rsidRPr="00D31050">
              <w:rPr>
                <w:rFonts w:cs="Times New Roman"/>
                <w:b/>
                <w:sz w:val="20"/>
                <w:szCs w:val="20"/>
              </w:rPr>
              <w:t>от вида торгового объекта и его количества</w:t>
            </w:r>
          </w:p>
          <w:p w:rsidR="0095383D" w:rsidRDefault="0095383D" w:rsidP="00D31050">
            <w:pPr>
              <w:pStyle w:val="a3"/>
              <w:keepNext/>
              <w:spacing w:line="240" w:lineRule="auto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443E184" wp14:editId="1B2F7FB0">
                  <wp:extent cx="5038725" cy="2228850"/>
                  <wp:effectExtent l="0" t="0" r="9525" b="19050"/>
                  <wp:docPr id="52" name="Диаграмма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82556A" w:rsidRDefault="0095383D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           </w:t>
            </w:r>
          </w:p>
          <w:p w:rsidR="0095383D" w:rsidRPr="0095383D" w:rsidRDefault="0095383D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82556A">
              <w:rPr>
                <w:rFonts w:cs="Times New Roman"/>
                <w:b/>
                <w:sz w:val="20"/>
                <w:szCs w:val="20"/>
              </w:rPr>
              <w:t xml:space="preserve">                          </w:t>
            </w:r>
            <w:r>
              <w:rPr>
                <w:rFonts w:cs="Times New Roman"/>
                <w:b/>
                <w:sz w:val="20"/>
                <w:szCs w:val="20"/>
              </w:rPr>
              <w:t>Вид</w:t>
            </w:r>
            <w:r w:rsidRPr="0095383D">
              <w:rPr>
                <w:rFonts w:cs="Times New Roman"/>
                <w:b/>
                <w:sz w:val="20"/>
                <w:szCs w:val="20"/>
              </w:rPr>
              <w:t xml:space="preserve"> торговых объектов</w:t>
            </w:r>
            <w:r>
              <w:rPr>
                <w:rFonts w:cs="Times New Roman"/>
                <w:b/>
                <w:sz w:val="20"/>
                <w:szCs w:val="20"/>
              </w:rPr>
              <w:t xml:space="preserve"> компании</w:t>
            </w:r>
          </w:p>
        </w:tc>
        <w:tc>
          <w:tcPr>
            <w:tcW w:w="6792" w:type="dxa"/>
            <w:vMerge w:val="restart"/>
          </w:tcPr>
          <w:p w:rsidR="0082556A" w:rsidRDefault="0082556A" w:rsidP="0095383D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95383D" w:rsidRPr="0095383D" w:rsidRDefault="0095383D" w:rsidP="0095383D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Рост продаж в торговой сети </w:t>
            </w:r>
            <w:r>
              <w:rPr>
                <w:noProof/>
                <w:lang w:eastAsia="ru-RU"/>
              </w:rPr>
              <w:drawing>
                <wp:inline distT="0" distB="0" distL="0" distR="0" wp14:anchorId="08DC56FE" wp14:editId="080208DF">
                  <wp:extent cx="4105275" cy="3476625"/>
                  <wp:effectExtent l="0" t="0" r="9525" b="9525"/>
                  <wp:docPr id="51" name="Диаграмма 5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95383D" w:rsidRDefault="0095383D" w:rsidP="0095383D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5383D" w:rsidTr="0095383D">
        <w:tc>
          <w:tcPr>
            <w:tcW w:w="8909" w:type="dxa"/>
          </w:tcPr>
          <w:p w:rsidR="0095383D" w:rsidRDefault="0095383D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E658AD" wp14:editId="6CE4BCBC">
                  <wp:extent cx="4524375" cy="1009650"/>
                  <wp:effectExtent l="0" t="0" r="9525" b="19050"/>
                  <wp:docPr id="47" name="Диаграмма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792" w:type="dxa"/>
            <w:vMerge/>
          </w:tcPr>
          <w:p w:rsidR="0095383D" w:rsidRDefault="0095383D" w:rsidP="00D31050">
            <w:pPr>
              <w:pStyle w:val="a3"/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</w:p>
        </w:tc>
      </w:tr>
    </w:tbl>
    <w:p w:rsidR="00101D44" w:rsidRPr="00101D44" w:rsidRDefault="00D31050" w:rsidP="0095383D">
      <w:pPr>
        <w:pStyle w:val="a3"/>
        <w:spacing w:line="240" w:lineRule="auto"/>
        <w:ind w:left="0" w:firstLine="0"/>
        <w:jc w:val="both"/>
        <w:rPr>
          <w:rFonts w:cs="Times New Roman"/>
          <w:b/>
          <w:sz w:val="44"/>
          <w:szCs w:val="44"/>
        </w:rPr>
      </w:pPr>
      <w:r>
        <w:rPr>
          <w:rFonts w:cs="Times New Roman"/>
          <w:szCs w:val="28"/>
        </w:rPr>
        <w:lastRenderedPageBreak/>
        <w:t xml:space="preserve"> </w:t>
      </w:r>
      <w:r>
        <w:rPr>
          <w:rFonts w:cs="Times New Roman"/>
          <w:szCs w:val="28"/>
        </w:rPr>
        <w:t xml:space="preserve">           </w:t>
      </w:r>
    </w:p>
    <w:sectPr w:rsidR="00101D44" w:rsidRPr="00101D44" w:rsidSect="0095383D">
      <w:pgSz w:w="16838" w:h="11906" w:orient="landscape"/>
      <w:pgMar w:top="850" w:right="1134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92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1D44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12684"/>
    <w:rsid w:val="00312C31"/>
    <w:rsid w:val="00314A35"/>
    <w:rsid w:val="003209BD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556A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CE5"/>
    <w:rsid w:val="008A6DA1"/>
    <w:rsid w:val="008B0C7D"/>
    <w:rsid w:val="008B48AB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383D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1050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70DC7"/>
    <w:rsid w:val="00D71F8C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374F"/>
    <w:rsid w:val="00F3632C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2492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44"/>
    <w:pPr>
      <w:spacing w:after="0" w:line="264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10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D4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101D4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31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44"/>
    <w:pPr>
      <w:spacing w:after="0" w:line="264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10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D4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101D4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31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11\Desktop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11\Desktop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11\Desktop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0"/>
    </mc:Choice>
    <mc:Fallback>
      <c:style val="30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Количество персонала</c:v>
          </c:tx>
          <c:marker>
            <c:symbol val="none"/>
          </c:marker>
          <c:cat>
            <c:numRef>
              <c:f>Лист2!$A$1:$A$21</c:f>
              <c:numCache>
                <c:formatCode>General</c:formatCode>
                <c:ptCount val="21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</c:numCache>
            </c:numRef>
          </c:cat>
          <c:val>
            <c:numRef>
              <c:f>Лист2!$C$1:$C$21</c:f>
              <c:numCache>
                <c:formatCode>General</c:formatCode>
                <c:ptCount val="21"/>
                <c:pt idx="0">
                  <c:v>2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48</c:v>
                </c:pt>
                <c:pt idx="6">
                  <c:v>57</c:v>
                </c:pt>
                <c:pt idx="7">
                  <c:v>91</c:v>
                </c:pt>
                <c:pt idx="8">
                  <c:v>91</c:v>
                </c:pt>
                <c:pt idx="9">
                  <c:v>98</c:v>
                </c:pt>
                <c:pt idx="10">
                  <c:v>147</c:v>
                </c:pt>
                <c:pt idx="11">
                  <c:v>147</c:v>
                </c:pt>
                <c:pt idx="12">
                  <c:v>236</c:v>
                </c:pt>
                <c:pt idx="13">
                  <c:v>334</c:v>
                </c:pt>
                <c:pt idx="14">
                  <c:v>347</c:v>
                </c:pt>
                <c:pt idx="15">
                  <c:v>498</c:v>
                </c:pt>
                <c:pt idx="16">
                  <c:v>568</c:v>
                </c:pt>
                <c:pt idx="17">
                  <c:v>768</c:v>
                </c:pt>
                <c:pt idx="18">
                  <c:v>887</c:v>
                </c:pt>
                <c:pt idx="19">
                  <c:v>935</c:v>
                </c:pt>
                <c:pt idx="20">
                  <c:v>1006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529088"/>
        <c:axId val="357531008"/>
      </c:lineChart>
      <c:catAx>
        <c:axId val="35752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7531008"/>
        <c:crosses val="autoZero"/>
        <c:auto val="1"/>
        <c:lblAlgn val="ctr"/>
        <c:lblOffset val="100"/>
        <c:noMultiLvlLbl val="0"/>
      </c:catAx>
      <c:valAx>
        <c:axId val="357531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52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54839124130463"/>
          <c:y val="5.4438783387370696E-2"/>
          <c:w val="0.49846983412787688"/>
          <c:h val="0.88295742011619072"/>
        </c:manualLayout>
      </c:layout>
      <c:barChart>
        <c:barDir val="bar"/>
        <c:grouping val="clustered"/>
        <c:varyColors val="0"/>
        <c:ser>
          <c:idx val="0"/>
          <c:order val="0"/>
          <c:tx>
            <c:v>Продажи</c:v>
          </c:tx>
          <c:invertIfNegative val="0"/>
          <c:cat>
            <c:numRef>
              <c:f>Лист3!$A$14:$A$22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Лист3!$B$14:$B$22</c:f>
              <c:numCache>
                <c:formatCode>General</c:formatCode>
                <c:ptCount val="9"/>
                <c:pt idx="0">
                  <c:v>1.0056700000000001</c:v>
                </c:pt>
                <c:pt idx="1">
                  <c:v>1.4056299999999999</c:v>
                </c:pt>
                <c:pt idx="2">
                  <c:v>2.0045600000000001</c:v>
                </c:pt>
                <c:pt idx="3">
                  <c:v>4.0675800000000004</c:v>
                </c:pt>
                <c:pt idx="4">
                  <c:v>6.5679999999999996</c:v>
                </c:pt>
                <c:pt idx="5">
                  <c:v>16.578900000000001</c:v>
                </c:pt>
                <c:pt idx="6">
                  <c:v>22.219947000000001</c:v>
                </c:pt>
                <c:pt idx="7">
                  <c:v>24.083914</c:v>
                </c:pt>
                <c:pt idx="8">
                  <c:v>28.136461000000001</c:v>
                </c:pt>
              </c:numCache>
            </c:numRef>
          </c:val>
        </c:ser>
        <c:ser>
          <c:idx val="1"/>
          <c:order val="1"/>
          <c:tx>
            <c:v>Количество супермаркетов</c:v>
          </c:tx>
          <c:invertIfNegative val="0"/>
          <c:cat>
            <c:numRef>
              <c:f>Лист3!$A$14:$A$22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Лист3!$C$14:$C$22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Количество магазинов</c:v>
          </c:tx>
          <c:invertIfNegative val="0"/>
          <c:cat>
            <c:numRef>
              <c:f>Лист3!$A$14:$A$22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Лист3!$D$14:$D$22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10</c:v>
                </c:pt>
                <c:pt idx="7">
                  <c:v>16</c:v>
                </c:pt>
                <c:pt idx="8">
                  <c:v>18</c:v>
                </c:pt>
              </c:numCache>
            </c:numRef>
          </c:val>
        </c:ser>
        <c:ser>
          <c:idx val="3"/>
          <c:order val="3"/>
          <c:tx>
            <c:v>Количество торговых секций</c:v>
          </c:tx>
          <c:invertIfNegative val="0"/>
          <c:cat>
            <c:numRef>
              <c:f>Лист3!$A$14:$A$22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Лист3!$E$14:$E$22</c:f>
              <c:numCache>
                <c:formatCode>General</c:formatCode>
                <c:ptCount val="9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ser>
          <c:idx val="4"/>
          <c:order val="4"/>
          <c:tx>
            <c:v>Всего торговых объектов</c:v>
          </c:tx>
          <c:invertIfNegative val="0"/>
          <c:cat>
            <c:numRef>
              <c:f>Лист3!$A$14:$A$22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cat>
          <c:val>
            <c:numRef>
              <c:f>Лист3!$F$14:$F$22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13</c:v>
                </c:pt>
                <c:pt idx="6">
                  <c:v>17</c:v>
                </c:pt>
                <c:pt idx="7">
                  <c:v>23</c:v>
                </c:pt>
                <c:pt idx="8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7514240"/>
        <c:axId val="357520128"/>
      </c:barChart>
      <c:catAx>
        <c:axId val="357514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57520128"/>
        <c:crosses val="autoZero"/>
        <c:auto val="1"/>
        <c:lblAlgn val="ctr"/>
        <c:lblOffset val="100"/>
        <c:noMultiLvlLbl val="0"/>
      </c:catAx>
      <c:valAx>
        <c:axId val="357520128"/>
        <c:scaling>
          <c:orientation val="minMax"/>
        </c:scaling>
        <c:delete val="1"/>
        <c:axPos val="b"/>
        <c:majorGridlines/>
        <c:numFmt formatCode="0.00%" sourceLinked="0"/>
        <c:majorTickMark val="out"/>
        <c:minorTickMark val="none"/>
        <c:tickLblPos val="nextTo"/>
        <c:crossAx val="357514240"/>
        <c:crosses val="autoZero"/>
        <c:crossBetween val="between"/>
      </c:valAx>
      <c:spPr>
        <a:ln w="19050"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Продажи</c:v>
          </c:tx>
          <c:invertIfNegative val="0"/>
          <c:cat>
            <c:numRef>
              <c:f>Лист2!$A$1:$A$22</c:f>
              <c:numCache>
                <c:formatCode>General</c:formatCode>
                <c:ptCount val="22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</c:numCache>
            </c:numRef>
          </c:cat>
          <c:val>
            <c:numRef>
              <c:f>Лист2!$B$1:$B$21</c:f>
              <c:numCache>
                <c:formatCode>General</c:formatCode>
                <c:ptCount val="21"/>
                <c:pt idx="0">
                  <c:v>0</c:v>
                </c:pt>
                <c:pt idx="1">
                  <c:v>119000</c:v>
                </c:pt>
                <c:pt idx="2">
                  <c:v>123450</c:v>
                </c:pt>
                <c:pt idx="3">
                  <c:v>189450</c:v>
                </c:pt>
                <c:pt idx="4">
                  <c:v>306570</c:v>
                </c:pt>
                <c:pt idx="5">
                  <c:v>297690</c:v>
                </c:pt>
                <c:pt idx="6">
                  <c:v>335670</c:v>
                </c:pt>
                <c:pt idx="7">
                  <c:v>387690</c:v>
                </c:pt>
                <c:pt idx="8">
                  <c:v>459800</c:v>
                </c:pt>
                <c:pt idx="9">
                  <c:v>487890</c:v>
                </c:pt>
                <c:pt idx="10">
                  <c:v>563420</c:v>
                </c:pt>
                <c:pt idx="11">
                  <c:v>785000</c:v>
                </c:pt>
                <c:pt idx="12">
                  <c:v>1005670</c:v>
                </c:pt>
                <c:pt idx="13">
                  <c:v>1405630</c:v>
                </c:pt>
                <c:pt idx="14">
                  <c:v>2004560</c:v>
                </c:pt>
                <c:pt idx="15">
                  <c:v>4067580</c:v>
                </c:pt>
                <c:pt idx="16">
                  <c:v>6568000</c:v>
                </c:pt>
                <c:pt idx="17">
                  <c:v>16578900</c:v>
                </c:pt>
                <c:pt idx="18">
                  <c:v>22219947</c:v>
                </c:pt>
                <c:pt idx="19">
                  <c:v>24083914</c:v>
                </c:pt>
                <c:pt idx="20">
                  <c:v>28136461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7561472"/>
        <c:axId val="357563008"/>
      </c:barChart>
      <c:catAx>
        <c:axId val="35756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357563008"/>
        <c:crosses val="autoZero"/>
        <c:auto val="1"/>
        <c:lblAlgn val="ctr"/>
        <c:lblOffset val="100"/>
        <c:noMultiLvlLbl val="0"/>
      </c:catAx>
      <c:valAx>
        <c:axId val="357563008"/>
        <c:scaling>
          <c:orientation val="minMax"/>
        </c:scaling>
        <c:delete val="0"/>
        <c:axPos val="l"/>
        <c:majorGridlines/>
        <c:numFmt formatCode="[$$-409]#,##0" sourceLinked="0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35756147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0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numFmt formatCode="0%" sourceLinked="0"/>
            <c:txPr>
              <a:bodyPr/>
              <a:lstStyle/>
              <a:p>
                <a:pPr>
                  <a:defRPr sz="11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Лист1!$D$2:$D$4</c:f>
              <c:strCache>
                <c:ptCount val="3"/>
                <c:pt idx="0">
                  <c:v>Фирменные секции</c:v>
                </c:pt>
                <c:pt idx="1">
                  <c:v>Магазины</c:v>
                </c:pt>
                <c:pt idx="2">
                  <c:v>Супермакеты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</c:v>
                </c:pt>
                <c:pt idx="1">
                  <c:v>19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11B44-23D3-4EA9-BEC4-E685F1E5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2014-05-11T14:03:00Z</dcterms:created>
  <dcterms:modified xsi:type="dcterms:W3CDTF">2014-05-11T14:35:00Z</dcterms:modified>
</cp:coreProperties>
</file>