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INFORME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 AAPS/DER/INF/{{ report_num }}/{{ year }}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60.999999999999" w:type="dxa"/>
        <w:jc w:val="center"/>
        <w:tblLayout w:type="fixed"/>
        <w:tblLook w:val="0400"/>
      </w:tblPr>
      <w:tblGrid>
        <w:gridCol w:w="959"/>
        <w:gridCol w:w="559"/>
        <w:gridCol w:w="6443"/>
        <w:tblGridChange w:id="0">
          <w:tblGrid>
            <w:gridCol w:w="959"/>
            <w:gridCol w:w="559"/>
            <w:gridCol w:w="6443"/>
          </w:tblGrid>
        </w:tblGridChange>
      </w:tblGrid>
      <w:tr>
        <w:trPr>
          <w:trHeight w:val="440" w:hRule="atLeast"/>
        </w:trPr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Lic. Genaro Camargo Alejo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DIRECTOR DE ESTRATEGIAS REGULATORIAS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VIA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Ing. Alejandro Luis Araujo Rosso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JEFE DE FISCALIZACIÓN Y SEGUIMIENTO REGULATORIO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DE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{{ denom }} {{ name }}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PROFESIONAL {{ prof }} {{ specialty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REF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EVALUACIÓN TÉCNICA Y ECONÓMICA - INFORME ANUAL {{ year }} – {{ epsa_code }}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FECHA</w:t>
              <w:tab/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{{ city }}, {{ day }} de {{ month }} de {{ year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101600</wp:posOffset>
                </wp:positionV>
                <wp:extent cx="5953125" cy="22225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4200" y="378000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101600</wp:posOffset>
                </wp:positionV>
                <wp:extent cx="5953125" cy="22225"/>
                <wp:effectExtent b="0" l="0" r="0" t="0"/>
                <wp:wrapTopAndBottom distB="0" dist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ANTECEDENTES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0" w:firstLine="0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CUMPLIMIENTO DE LA OBLIGACIÓN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EVALUACIÓN PLANILLAS DE SEGUIMIENTO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PLANILLAS TÉCNICAS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72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65"/>
        <w:gridCol w:w="75"/>
        <w:gridCol w:w="1329"/>
        <w:gridCol w:w="75"/>
        <w:gridCol w:w="1828"/>
        <w:tblGridChange w:id="0">
          <w:tblGrid>
            <w:gridCol w:w="6465"/>
            <w:gridCol w:w="75"/>
            <w:gridCol w:w="1329"/>
            <w:gridCol w:w="75"/>
            <w:gridCol w:w="1828"/>
          </w:tblGrid>
        </w:tblGridChange>
      </w:tblGrid>
      <w:tr>
        <w:trPr>
          <w:trHeight w:val="120" w:hRule="atLeast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PLANILLA T1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UBICACIÓN, COORDENADAS Y POBLACIÓN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PRESENTADA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trHeight w:val="60" w:hRule="atLeast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EVALUACIÓN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PLANILLA T2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FUENTES SUPERFICIALES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PRESENTADA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trHeight w:val="60" w:hRule="atLeast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EVALUACIÓN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PLANILLA T3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EMBALSES 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PRESENTADA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trHeight w:val="60" w:hRule="atLeast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EVALUACIÓN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gridSpan w:val="2"/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PLANILLA  T4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FUENTES SUBTERRÁNEAS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PRESENTADA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trHeight w:val="40" w:hRule="atLeast"/>
        </w:trPr>
        <w:tc>
          <w:tcPr>
            <w:gridSpan w:val="2"/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EVALUACIÓN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PLANILLA  T5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ADUCCIÓN Y/O CONDUCCIÓN    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PRESENTADA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trHeight w:val="80" w:hRule="atLeast"/>
        </w:trPr>
        <w:tc>
          <w:tcPr>
            <w:gridSpan w:val="2"/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EVALUACIÓN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PLANILLA T6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PLANTAS DE POTABILIZACION DE AGUA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PRESENTADA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trHeight w:val="140" w:hRule="atLeast"/>
        </w:trPr>
        <w:tc>
          <w:tcPr>
            <w:gridSpan w:val="2"/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EVALUACIÓN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PLANILLA T7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TANQUES  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PRESENTADA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trHeight w:val="140" w:hRule="atLeast"/>
        </w:trPr>
        <w:tc>
          <w:tcPr>
            <w:gridSpan w:val="2"/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EVALUACIÓN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PLANILLA T8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HIDRANTES 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PRESENTADA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trHeight w:val="140" w:hRule="atLeast"/>
        </w:trPr>
        <w:tc>
          <w:tcPr>
            <w:gridSpan w:val="2"/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EVALUACIÓN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PLANILLA T9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ESTACIONES DE BOMBEO DE AGUAS SERVIDAS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PRESENTADA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trHeight w:val="140" w:hRule="atLeast"/>
        </w:trPr>
        <w:tc>
          <w:tcPr>
            <w:gridSpan w:val="2"/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EVALUACIÓN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PLANILLA T10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ESTACIÓN ELEVADORA DE AGUA RESIDUAL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PRESENTADA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trHeight w:val="140" w:hRule="atLeast"/>
        </w:trPr>
        <w:tc>
          <w:tcPr>
            <w:gridSpan w:val="2"/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EVALUACIÓN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PLANILLA T11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PLANTA DE TRATAMIENTO DE AGUAS RESIDUALES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PRESENTADA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trHeight w:val="140" w:hRule="atLeast"/>
        </w:trPr>
        <w:tc>
          <w:tcPr>
            <w:gridSpan w:val="2"/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PLANILLA T12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DESCARGA DE AGUAS RESIDUALES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PRESENTADA: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OBSERVACIONES:</w:t>
            </w:r>
          </w:p>
        </w:tc>
      </w:tr>
      <w:tr>
        <w:trPr>
          <w:trHeight w:val="140" w:hRule="atLeast"/>
        </w:trPr>
        <w:tc>
          <w:tcPr>
            <w:gridSpan w:val="2"/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EVALUACIÓN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PLANILLA T13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CALIDAD DE AGUA POTABLE 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PRESENTADA: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OBSERVACIONES:</w:t>
            </w:r>
          </w:p>
        </w:tc>
      </w:tr>
      <w:tr>
        <w:trPr>
          <w:trHeight w:val="140" w:hRule="atLeast"/>
        </w:trPr>
        <w:tc>
          <w:tcPr>
            <w:gridSpan w:val="2"/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EVALUACIÓN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PLANILLA T14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CALIDAD DE AGUA RESIDUAL TRATADA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PRESENTADA: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OBSERVACIONES:</w:t>
            </w:r>
          </w:p>
        </w:tc>
      </w:tr>
      <w:tr>
        <w:trPr>
          <w:trHeight w:val="140" w:hRule="atLeast"/>
        </w:trPr>
        <w:tc>
          <w:tcPr>
            <w:gridSpan w:val="2"/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EVALUACIÓN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PLANILLA T15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LODOS (PLANTAS)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PRESENTADA: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OBSERVACIONES:</w:t>
            </w:r>
          </w:p>
        </w:tc>
      </w:tr>
      <w:tr>
        <w:trPr>
          <w:trHeight w:val="140" w:hRule="atLeast"/>
        </w:trPr>
        <w:tc>
          <w:tcPr>
            <w:gridSpan w:val="2"/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EVALUACIÓN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PLANILLA T16 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PRESIONES DE SERVICIO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PRESENTADA: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OBSERVACIONES:</w:t>
            </w:r>
          </w:p>
        </w:tc>
      </w:tr>
      <w:tr>
        <w:trPr>
          <w:trHeight w:val="140" w:hRule="atLeast"/>
        </w:trPr>
        <w:tc>
          <w:tcPr>
            <w:gridSpan w:val="2"/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EVALUACIÓN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PLANILLA T17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COBERTURA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PRESENTADA: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OBSERVACIONES:</w:t>
            </w:r>
          </w:p>
        </w:tc>
      </w:tr>
      <w:tr>
        <w:trPr>
          <w:trHeight w:val="140" w:hRule="atLeast"/>
        </w:trPr>
        <w:tc>
          <w:tcPr>
            <w:gridSpan w:val="2"/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EVALUACIÓN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PLANILLA T19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GENERADORES DE EFLUENTES INDUSTRIALES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PRESENTADA: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OBSERVACIONES:</w:t>
            </w:r>
          </w:p>
        </w:tc>
      </w:tr>
      <w:tr>
        <w:trPr>
          <w:trHeight w:val="140" w:hRule="atLeast"/>
        </w:trPr>
        <w:tc>
          <w:tcPr>
            <w:gridSpan w:val="2"/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EVALUACIÓN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ECONÓMICAS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108.0" w:type="dxa"/>
        <w:tblBorders>
          <w:top w:color="4bacc6" w:space="0" w:sz="8" w:val="single"/>
          <w:left w:color="000000" w:space="0" w:sz="4" w:val="single"/>
          <w:bottom w:color="4bacc6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09"/>
        <w:gridCol w:w="1424"/>
        <w:gridCol w:w="1848"/>
        <w:tblGridChange w:id="0">
          <w:tblGrid>
            <w:gridCol w:w="6509"/>
            <w:gridCol w:w="1424"/>
            <w:gridCol w:w="1848"/>
          </w:tblGrid>
        </w:tblGridChange>
      </w:tblGrid>
      <w:tr>
        <w:trPr>
          <w:trHeight w:val="26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PLANILLA EFC 1 (DETALLE DE COSTOS OPERATIVOS)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PRESENTADA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440" w:hRule="atLeast"/>
        </w:trPr>
        <w:tc>
          <w:tcPr>
            <w:gridSpan w:val="3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EVALUACIÓN</w:t>
            </w:r>
          </w:p>
          <w:p w:rsidR="00000000" w:rsidDel="00000000" w:rsidP="00000000" w:rsidRDefault="00000000" w:rsidRPr="00000000" w14:paraId="0000016E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PLANILLA EFC 2 (EJECUCIÓN PRESUPUESTARIA - INGRESOS)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PRESENTADA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EVALUACIÓN</w:t>
            </w:r>
          </w:p>
          <w:p w:rsidR="00000000" w:rsidDel="00000000" w:rsidP="00000000" w:rsidRDefault="00000000" w:rsidRPr="00000000" w14:paraId="00000178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PLANILLA EFC 3 (DETALLE DE SEGUROS)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PRESENTADA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EVALUACIÓN</w:t>
            </w:r>
          </w:p>
          <w:p w:rsidR="00000000" w:rsidDel="00000000" w:rsidP="00000000" w:rsidRDefault="00000000" w:rsidRPr="00000000" w14:paraId="00000182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PLANILLA EFC 4 (EJECUCIÓN DE INVERSIONES)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PRESENTADA</w:t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EVALUACIÓN</w:t>
            </w:r>
          </w:p>
          <w:p w:rsidR="00000000" w:rsidDel="00000000" w:rsidP="00000000" w:rsidRDefault="00000000" w:rsidRPr="00000000" w14:paraId="0000018C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PLANILLA EFC 5 (REPORTE DE RECLAMOS) 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PRESENTADA</w:t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EVALUACIÓN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PLANILLA EFC 6 (REPORTE DE FACTURACIÓN)</w:t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PRESENTADA</w:t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EVALUACIÓN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ADQUISICIÓN DE EQUIPOS, PRODUCTOS Y MATERIALES, MEDIANTE LICITACIÓN PÚBLICA – CLÁUSULA OCTAVA, NUMERAL 8.8.2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PRESENTADA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EVALUACIÓN</w:t>
            </w:r>
          </w:p>
          <w:p w:rsidR="00000000" w:rsidDel="00000000" w:rsidP="00000000" w:rsidRDefault="00000000" w:rsidRPr="00000000" w14:paraId="000001AA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NÓMINA DE PERSONAL, EVENTUAL O A CONTRATO – ANEXO 7, NUMERAL A.7.2, INCISO C)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PRESENTADA</w:t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EVALUACIÓN</w:t>
            </w:r>
          </w:p>
          <w:p w:rsidR="00000000" w:rsidDel="00000000" w:rsidP="00000000" w:rsidRDefault="00000000" w:rsidRPr="00000000" w14:paraId="000001B4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5" w:right="0" w:hanging="495"/>
        <w:jc w:val="both"/>
        <w:rPr>
          <w:rFonts w:ascii="Century Gothic" w:cs="Century Gothic" w:eastAsia="Century Gothic" w:hAnsi="Century Gothic"/>
          <w:b w:val="1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INDICADORES DE DESEMPEÑO</w:t>
      </w:r>
    </w:p>
    <w:p w:rsidR="00000000" w:rsidDel="00000000" w:rsidP="00000000" w:rsidRDefault="00000000" w:rsidRPr="00000000" w14:paraId="000001B9">
      <w:pPr>
        <w:spacing w:after="0" w:line="240" w:lineRule="auto"/>
        <w:jc w:val="both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entury Gothic" w:cs="Century Gothic" w:eastAsia="Century Gothic" w:hAnsi="Century Gothic"/>
          <w:b w:val="1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INDICADORES TÉCNICOS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entury Gothic" w:cs="Century Gothic" w:eastAsia="Century Gothic" w:hAnsi="Century Gothic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center"/>
        <w:tblLayout w:type="fixed"/>
        <w:tblLook w:val="0400"/>
      </w:tblPr>
      <w:tblGrid>
        <w:gridCol w:w="3465"/>
        <w:gridCol w:w="1335"/>
        <w:gridCol w:w="1455"/>
        <w:gridCol w:w="855"/>
        <w:gridCol w:w="855"/>
        <w:gridCol w:w="855"/>
        <w:tblGridChange w:id="0">
          <w:tblGrid>
            <w:gridCol w:w="3465"/>
            <w:gridCol w:w="1335"/>
            <w:gridCol w:w="1455"/>
            <w:gridCol w:w="855"/>
            <w:gridCol w:w="855"/>
            <w:gridCol w:w="85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203864" w:val="clear"/>
            <w:vAlign w:val="center"/>
          </w:tcPr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2f2f2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2f2f2"/>
                <w:sz w:val="18"/>
                <w:szCs w:val="18"/>
                <w:rtl w:val="0"/>
              </w:rPr>
              <w:t xml:space="preserve">Indicador</w:t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single"/>
              <w:right w:color="000000" w:space="0" w:sz="4" w:val="dotted"/>
            </w:tcBorders>
            <w:shd w:fill="203864" w:val="clear"/>
            <w:vAlign w:val="center"/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2f2f2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2f2f2"/>
                <w:sz w:val="18"/>
                <w:szCs w:val="18"/>
                <w:rtl w:val="0"/>
              </w:rPr>
              <w:t xml:space="preserve">Unidad</w:t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single"/>
              <w:right w:color="000000" w:space="0" w:sz="4" w:val="dotted"/>
            </w:tcBorders>
            <w:shd w:fill="203864" w:val="clear"/>
            <w:vAlign w:val="center"/>
          </w:tcPr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2f2f2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2f2f2"/>
                <w:sz w:val="18"/>
                <w:szCs w:val="18"/>
                <w:rtl w:val="0"/>
              </w:rPr>
              <w:t xml:space="preserve">Parámetro Óptimo</w:t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single"/>
              <w:right w:color="000000" w:space="0" w:sz="4" w:val="dotted"/>
            </w:tcBorders>
            <w:shd w:fill="203864" w:val="clear"/>
            <w:vAlign w:val="center"/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2f2f2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2f2f2"/>
                <w:sz w:val="18"/>
                <w:szCs w:val="18"/>
                <w:rtl w:val="0"/>
              </w:rPr>
              <w:t xml:space="preserve">{{ year_pp }}</w:t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single"/>
              <w:right w:color="000000" w:space="0" w:sz="4" w:val="dotted"/>
            </w:tcBorders>
            <w:shd w:fill="203864" w:val="clear"/>
            <w:vAlign w:val="center"/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2f2f2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2f2f2"/>
                <w:sz w:val="18"/>
                <w:szCs w:val="18"/>
                <w:rtl w:val="0"/>
              </w:rPr>
              <w:t xml:space="preserve">{{ year_p }}</w:t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single"/>
              <w:right w:color="000000" w:space="0" w:sz="4" w:val="dotted"/>
            </w:tcBorders>
            <w:shd w:fill="203864" w:val="clear"/>
            <w:vAlign w:val="center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2f2f2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2f2f2"/>
                <w:sz w:val="18"/>
                <w:szCs w:val="18"/>
                <w:rtl w:val="0"/>
              </w:rPr>
              <w:t xml:space="preserve">{{ year_n }}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Rendimiento actual de la fuente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&lt; 85%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ind_t_1_1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ind_t_2_1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ind_t_3_1 }}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Uso eficiente del Recurso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&gt; 60%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ind_t_1_2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ind_t_2_2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ind_t_3_2 }}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Cobertura de muestras de agua potable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ind_t_1_3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ind_t_2_3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ind_t_3_3 }}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Conformidad de los análisis de agua potable realizados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&gt; 95%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ind_t_1_4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ind_t_2_4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ind_t_3_4 }}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Dotación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L/hab/día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&gt; 150 l/hab/día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ind_t_1_5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ind_t_2_5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ind_t_3_5 }}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Continuidad por racionamiento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horas/día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&gt; 20 hr/día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ind_t_1_6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ind_t_2_6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ind_t_3_6 }}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Continuidad por corte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&gt; 95%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ind_t_1_7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ind_t_2_7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ind_t_3_7 }}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Cobertura del Servicio de Agua Potable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&gt; 90%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ind_t_1_8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ind_t_2_8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ind_t_3_8 }}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Cobertura del Servicio de Alcantarillado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&gt; 65%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ind_t_1_9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ind_t_2_9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ind_t_3_9 }}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Cobertura de micro medición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&gt; 90%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ind_t_1_10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ind_t_2_10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ind_t_3_10 }}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Incidencia extracción de agua cruda subterránea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&lt; 85%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ind_t_1_11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ind_t_2_11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ind_t_3_11 }}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Índice de tratamiento de agua residual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&gt;60%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ind_t_1_12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ind_t_2_12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ind_t_3_12 }}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Control de aguas residuales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&gt; 95%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ind_t_1_13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ind_t_2_13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ind_t_3_13 }}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Capacidad instalada de Planta de Tratamiento de Agua Potable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&lt; 90%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ind_t_1_14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ind_t_2_14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ind_t_3_14 }}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Capacidad instalada de Planta de Tratamiento de Agua Residual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8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&lt; 90%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ind_t_1_15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A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ind_t_2_15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B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ind_t_3_15 }}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Presión del servicio de Agua Potable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&gt; 95%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ind_t_1_16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0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ind_t_2_16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ind_t_3_16 }}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Índice de Agua no contabilizada en Producción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&lt; 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ind_t_1_17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6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ind_t_2_17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ind_t_3_17 }}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Índice de Agua no contabilizada en la red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&lt; 30%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B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ind_t_1_18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ind_t_2_18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ind_t_3_18 }}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Densidad de fallas en tuberías de agua potable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Roturas</w:t>
              <w:br w:type="textWrapping"/>
              <w:t xml:space="preserve">/100 km.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0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25 - 50 Fallas/100Km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ind_t_1_19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ind_t_2_19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ind_t_3_19 }}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Densidad de fallas en conexiones de agua potable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Fallas</w:t>
              <w:br w:type="textWrapping"/>
              <w:t xml:space="preserve">/1000 conex.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6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25 - 50 Fallas/1000 conex.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ind_t_1_20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ind_t_2_20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ind_t_3_20 }}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Densidad de fallas en tuberías de agua residual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Roturas</w:t>
              <w:br w:type="textWrapping"/>
              <w:t xml:space="preserve">/100 km.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2 - 4 Fallas Fallas/100Km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ind_t_1_21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ind_t_2_21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ind_t_3_21 }}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Densidad de fallas en conexiones de alcantarillado sanitario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Fallas</w:t>
              <w:br w:type="textWrapping"/>
              <w:t xml:space="preserve">/1000 conex.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2 - 4 Fallas/1000 conex.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ind_t_1_22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ind_t_2_22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ind_t_3_22 }}</w:t>
            </w:r>
          </w:p>
        </w:tc>
      </w:tr>
    </w:tbl>
    <w:p w:rsidR="00000000" w:rsidDel="00000000" w:rsidP="00000000" w:rsidRDefault="00000000" w:rsidRPr="00000000" w14:paraId="00000246">
      <w:pPr>
        <w:spacing w:after="0" w:line="240" w:lineRule="auto"/>
        <w:rPr>
          <w:rFonts w:ascii="Century Gothic" w:cs="Century Gothic" w:eastAsia="Century Gothic" w:hAnsi="Century Gothic"/>
          <w:sz w:val="14"/>
          <w:szCs w:val="14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ab/>
      </w:r>
      <w:r w:rsidDel="00000000" w:rsidR="00000000" w:rsidRPr="00000000">
        <w:rPr>
          <w:rFonts w:ascii="Century Gothic" w:cs="Century Gothic" w:eastAsia="Century Gothic" w:hAnsi="Century Gothic"/>
          <w:sz w:val="14"/>
          <w:szCs w:val="14"/>
          <w:rtl w:val="0"/>
        </w:rPr>
        <w:t xml:space="preserve">NC: No corresponde, NSD: No se determinó, NR: No reporta</w:t>
      </w:r>
    </w:p>
    <w:p w:rsidR="00000000" w:rsidDel="00000000" w:rsidP="00000000" w:rsidRDefault="00000000" w:rsidRPr="00000000" w14:paraId="00000247">
      <w:pPr>
        <w:spacing w:after="0"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Rendimiento actual de la fuente.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{{ ind_t_1_p }}</w:t>
      </w: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Uso eficiente del recurso.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{{ ind_t_2_p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Cobertura de Muestras de Agua Potable.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{{ ind_t_3_p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Conformidad de los análisis de agua realizados. 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{{ ind_t_4_p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Dotación.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{{ ind_t_5_p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Continuidad por racionamiento.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{{ ind_t_6_p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Continuidad por corte.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{{ ind_t_7_p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Cobertura del servicio de agua.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{{ ind_t_8_p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Cobertura de servicio de alcantarillado sanitario.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{{ ind_t_9_p }}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Cobertura de micromedición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{{ ind_t_10_p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Incidencia de extracción de agua cruda subterránea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{{ ind_t_11_p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Índice de Tratamiento de Aguas Residuales.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{{ ind_t_12_p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Control de Aguas Residuales.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{{ ind_t_13_p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Capacidad instalada de Planta de Tratamiento de Agua Potable.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{{ ind_t_14_p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Capacidad instalada de Planta de Tratamiento de Agua Residual.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{{ ind_t_15_p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Presión del Servicio de Agua Potable.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{{ ind_t_16_p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Índice de Agua no contabilizada en Producción.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{{ ind_t_17_p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Índice de Agua no contabilizada en la red.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{{ ind_t_18_p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Densidad de fallas en tuberías de agua potable.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{{ ind_t_19_p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Densidad de fallas en conexiones de agua potable.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{{ ind_t_20_p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Densidad de fallas en tuberías de agua residual.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{{ ind_t_21_p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Densidad de fallas en conexiones de alcantarillado sanitario.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{{ ind_t_22_p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INDICADORES ECONÓMICOS</w:t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firstLine="567.0000000000002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17.999999999998" w:type="dxa"/>
        <w:jc w:val="left"/>
        <w:tblInd w:w="70.0" w:type="dxa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3019"/>
        <w:gridCol w:w="1230"/>
        <w:gridCol w:w="1110"/>
        <w:gridCol w:w="993"/>
        <w:gridCol w:w="1113"/>
        <w:gridCol w:w="953"/>
        <w:tblGridChange w:id="0">
          <w:tblGrid>
            <w:gridCol w:w="3019"/>
            <w:gridCol w:w="1230"/>
            <w:gridCol w:w="1110"/>
            <w:gridCol w:w="993"/>
            <w:gridCol w:w="1113"/>
            <w:gridCol w:w="953"/>
          </w:tblGrid>
        </w:tblGridChange>
      </w:tblGrid>
      <w:tr>
        <w:trPr>
          <w:trHeight w:val="480" w:hRule="atLeast"/>
        </w:trPr>
        <w:tc>
          <w:tcPr>
            <w:shd w:fill="203864" w:val="clear"/>
            <w:vAlign w:val="center"/>
          </w:tcPr>
          <w:p w:rsidR="00000000" w:rsidDel="00000000" w:rsidP="00000000" w:rsidRDefault="00000000" w:rsidRPr="00000000" w14:paraId="0000026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2f2f2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2f2f2"/>
                <w:sz w:val="18"/>
                <w:szCs w:val="18"/>
                <w:rtl w:val="0"/>
              </w:rPr>
              <w:t xml:space="preserve">Indicador</w:t>
            </w:r>
          </w:p>
        </w:tc>
        <w:tc>
          <w:tcPr>
            <w:shd w:fill="203864" w:val="clear"/>
            <w:vAlign w:val="center"/>
          </w:tcPr>
          <w:p w:rsidR="00000000" w:rsidDel="00000000" w:rsidP="00000000" w:rsidRDefault="00000000" w:rsidRPr="00000000" w14:paraId="0000026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Unidad</w:t>
            </w:r>
          </w:p>
        </w:tc>
        <w:tc>
          <w:tcPr>
            <w:shd w:fill="203864" w:val="clear"/>
            <w:vAlign w:val="center"/>
          </w:tcPr>
          <w:p w:rsidR="00000000" w:rsidDel="00000000" w:rsidP="00000000" w:rsidRDefault="00000000" w:rsidRPr="00000000" w14:paraId="0000026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Parámetro Óptimo</w:t>
            </w:r>
          </w:p>
        </w:tc>
        <w:tc>
          <w:tcPr>
            <w:shd w:fill="203864" w:val="clear"/>
            <w:vAlign w:val="center"/>
          </w:tcPr>
          <w:p w:rsidR="00000000" w:rsidDel="00000000" w:rsidP="00000000" w:rsidRDefault="00000000" w:rsidRPr="00000000" w14:paraId="0000026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{{ year_pp }}</w:t>
            </w:r>
          </w:p>
        </w:tc>
        <w:tc>
          <w:tcPr>
            <w:shd w:fill="203864" w:val="clear"/>
            <w:vAlign w:val="center"/>
          </w:tcPr>
          <w:p w:rsidR="00000000" w:rsidDel="00000000" w:rsidP="00000000" w:rsidRDefault="00000000" w:rsidRPr="00000000" w14:paraId="0000026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{{ year_p }}</w:t>
            </w:r>
          </w:p>
        </w:tc>
        <w:tc>
          <w:tcPr>
            <w:shd w:fill="203864" w:val="clear"/>
            <w:vAlign w:val="center"/>
          </w:tcPr>
          <w:p w:rsidR="00000000" w:rsidDel="00000000" w:rsidP="00000000" w:rsidRDefault="00000000" w:rsidRPr="00000000" w14:paraId="00000266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{{ year_n }}</w:t>
            </w:r>
          </w:p>
        </w:tc>
      </w:tr>
      <w:tr>
        <w:trPr>
          <w:trHeight w:val="4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6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Índice de operación eficiente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68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6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Entre 65% y 75%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6A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ind_e_1_1 }}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6B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ind_e_2_1 }}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6C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ind_e_3_1 }}</w:t>
            </w:r>
          </w:p>
        </w:tc>
      </w:tr>
      <w:tr>
        <w:trPr>
          <w:trHeight w:val="4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6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Prueba Acida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6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veces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6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&gt;=1 y &lt;= 2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70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ind_e_1_2 }}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71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ind_e_2_2 }}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72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ind_e_3_2 }}</w:t>
            </w:r>
          </w:p>
        </w:tc>
      </w:tr>
      <w:tr>
        <w:trPr>
          <w:trHeight w:val="4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7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Eficiencia de recaudación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7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7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&gt;= al 90%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76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ind_e_1_3 }}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77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ind_e_2_3 }}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78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ind_e_3_3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7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Índice de endeudamiento total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7A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7B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Entre 30% y 50%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7C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ind_e_1_4 }}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7D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ind_e_2_4 }}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7E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ind_e_3_4 }}</w:t>
            </w:r>
          </w:p>
        </w:tc>
      </w:tr>
      <w:tr>
        <w:trPr>
          <w:trHeight w:val="4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7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Tarifa media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80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Bs.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8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&gt; 30% al CUO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82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ind_e_1_5 }}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83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ind_e_2_5 }}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84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ind_e_3_5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8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Costo unitario de operación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86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Bs.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8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&lt; 30% al TM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88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ind_e_1_6 }}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89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ind_e_2_6 }}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8A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ind_e_3_6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8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Índice de ejecución de inversiones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8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8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&gt; al 90%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8E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ind_e_1_7 }}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8F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ind_e_2_7 }}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90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ind_e_3_7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9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Personal calificado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9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9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Entre 25% y 30%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94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ind_e_1_8 }}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95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ind_e_2_8 }}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96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ind_e_3_8 }}</w:t>
            </w:r>
          </w:p>
        </w:tc>
      </w:tr>
      <w:tr>
        <w:trPr>
          <w:trHeight w:val="6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9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Número de Empleados por cada 1000 conexiones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98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Empleados/1000 conexiones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9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 Entre 1.5  y 2.5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9A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ind_e_1_9 }}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9B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ind_e_2_9 }}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9C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ind_e_3_9 }}</w:t>
            </w:r>
          </w:p>
        </w:tc>
      </w:tr>
      <w:tr>
        <w:trPr>
          <w:trHeight w:val="4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9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Atención de reclamos 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9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9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&gt; a 90%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A0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ind_e_1_10 }}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A1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ind_e_2_10 }}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A2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{{ ind_e_3_10 }}</w:t>
            </w:r>
          </w:p>
        </w:tc>
      </w:tr>
    </w:tbl>
    <w:p w:rsidR="00000000" w:rsidDel="00000000" w:rsidP="00000000" w:rsidRDefault="00000000" w:rsidRPr="00000000" w14:paraId="000002A3">
      <w:pPr>
        <w:spacing w:after="0" w:line="240" w:lineRule="auto"/>
        <w:rPr>
          <w:rFonts w:ascii="Century Gothic" w:cs="Century Gothic" w:eastAsia="Century Gothic" w:hAnsi="Century Gothic"/>
          <w:sz w:val="14"/>
          <w:szCs w:val="14"/>
        </w:rPr>
      </w:pPr>
      <w:r w:rsidDel="00000000" w:rsidR="00000000" w:rsidRPr="00000000">
        <w:rPr>
          <w:rFonts w:ascii="Century Gothic" w:cs="Century Gothic" w:eastAsia="Century Gothic" w:hAnsi="Century Gothic"/>
          <w:sz w:val="14"/>
          <w:szCs w:val="14"/>
          <w:rtl w:val="0"/>
        </w:rPr>
        <w:t xml:space="preserve">NC: No corresponde, NSD: No se determinó, NR: No reporta</w:t>
      </w:r>
    </w:p>
    <w:p w:rsidR="00000000" w:rsidDel="00000000" w:rsidP="00000000" w:rsidRDefault="00000000" w:rsidRPr="00000000" w14:paraId="000002A4">
      <w:pPr>
        <w:spacing w:after="0" w:line="240" w:lineRule="auto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Índice de Operación Eficiente: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{{ ind_e_1_p }}</w:t>
      </w:r>
    </w:p>
    <w:p w:rsidR="00000000" w:rsidDel="00000000" w:rsidP="00000000" w:rsidRDefault="00000000" w:rsidRPr="00000000" w14:paraId="000002A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Prueba Ácida: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0" w:line="240" w:lineRule="auto"/>
        <w:ind w:left="720" w:firstLine="0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{{ ind_e_2_p }}</w:t>
      </w:r>
    </w:p>
    <w:p w:rsidR="00000000" w:rsidDel="00000000" w:rsidP="00000000" w:rsidRDefault="00000000" w:rsidRPr="00000000" w14:paraId="000002A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Eficiencia de Recaudación: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0" w:line="240" w:lineRule="auto"/>
        <w:ind w:left="720" w:firstLine="0"/>
        <w:jc w:val="both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{{ ind_e_3_p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Índice de Endeudamiento Total: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0" w:line="240" w:lineRule="auto"/>
        <w:ind w:left="720" w:firstLine="0"/>
        <w:jc w:val="both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{{ ind_e_4_p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Tarifa Media y Costo Unitario de Operación: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0" w:line="240" w:lineRule="auto"/>
        <w:ind w:left="720" w:firstLine="0"/>
        <w:jc w:val="both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{{ ind_e_5_p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Costo Unitario de Operación: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0" w:line="240" w:lineRule="auto"/>
        <w:ind w:left="720" w:firstLine="0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{{ ind_e_6_p }}</w:t>
      </w:r>
    </w:p>
    <w:p w:rsidR="00000000" w:rsidDel="00000000" w:rsidP="00000000" w:rsidRDefault="00000000" w:rsidRPr="00000000" w14:paraId="000002B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Índice de Ejecución de Inversiones: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0" w:line="240" w:lineRule="auto"/>
        <w:ind w:left="720" w:firstLine="0"/>
        <w:jc w:val="both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{{ ind_e_7_p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Personal Calificado: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0" w:line="240" w:lineRule="auto"/>
        <w:ind w:left="720" w:firstLine="0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{{ ind_e_8_p }}</w:t>
      </w:r>
    </w:p>
    <w:p w:rsidR="00000000" w:rsidDel="00000000" w:rsidP="00000000" w:rsidRDefault="00000000" w:rsidRPr="00000000" w14:paraId="000002B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Número de Empleados por cada 1000 conexiones: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0" w:line="240" w:lineRule="auto"/>
        <w:ind w:left="720" w:firstLine="0"/>
        <w:jc w:val="both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{{ ind_e_9_p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Atención de Reclamos: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0" w:line="240" w:lineRule="auto"/>
        <w:ind w:left="720" w:firstLine="0"/>
        <w:jc w:val="both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{{ ind_e_10_p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5" w:right="0" w:hanging="495"/>
        <w:jc w:val="both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METAS DE EXPANSIÓN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5" w:right="0" w:hanging="72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05.0" w:type="dxa"/>
        <w:jc w:val="center"/>
        <w:tblLayout w:type="fixed"/>
        <w:tblLook w:val="0400"/>
      </w:tblPr>
      <w:tblGrid>
        <w:gridCol w:w="360"/>
        <w:gridCol w:w="3105"/>
        <w:gridCol w:w="1305"/>
        <w:gridCol w:w="1395"/>
        <w:gridCol w:w="1365"/>
        <w:gridCol w:w="1275"/>
        <w:tblGridChange w:id="0">
          <w:tblGrid>
            <w:gridCol w:w="360"/>
            <w:gridCol w:w="3105"/>
            <w:gridCol w:w="1305"/>
            <w:gridCol w:w="1395"/>
            <w:gridCol w:w="1365"/>
            <w:gridCol w:w="1275"/>
          </w:tblGrid>
        </w:tblGridChange>
      </w:tblGrid>
      <w:tr>
        <w:trPr>
          <w:trHeight w:val="300" w:hRule="atLeast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ddd" w:val="clear"/>
            <w:vAlign w:val="center"/>
          </w:tcPr>
          <w:p w:rsidR="00000000" w:rsidDel="00000000" w:rsidP="00000000" w:rsidRDefault="00000000" w:rsidRPr="00000000" w14:paraId="000002B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  <w:rtl w:val="0"/>
              </w:rPr>
              <w:t xml:space="preserve">Metas Ejecutadas del POA {{ year_n }}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ddd" w:val="clear"/>
            <w:vAlign w:val="center"/>
          </w:tcPr>
          <w:p w:rsidR="00000000" w:rsidDel="00000000" w:rsidP="00000000" w:rsidRDefault="00000000" w:rsidRPr="00000000" w14:paraId="000002C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  <w:rtl w:val="0"/>
              </w:rPr>
              <w:t xml:space="preserve">Nº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3cddd" w:val="clear"/>
            <w:vAlign w:val="center"/>
          </w:tcPr>
          <w:p w:rsidR="00000000" w:rsidDel="00000000" w:rsidP="00000000" w:rsidRDefault="00000000" w:rsidRPr="00000000" w14:paraId="000002C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  <w:rtl w:val="0"/>
              </w:rPr>
              <w:t xml:space="preserve">Metas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3cddd" w:val="clear"/>
            <w:vAlign w:val="center"/>
          </w:tcPr>
          <w:p w:rsidR="00000000" w:rsidDel="00000000" w:rsidP="00000000" w:rsidRDefault="00000000" w:rsidRPr="00000000" w14:paraId="000002C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  <w:rtl w:val="0"/>
              </w:rPr>
              <w:t xml:space="preserve">Programado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3cddd" w:val="clear"/>
            <w:vAlign w:val="center"/>
          </w:tcPr>
          <w:p w:rsidR="00000000" w:rsidDel="00000000" w:rsidP="00000000" w:rsidRDefault="00000000" w:rsidRPr="00000000" w14:paraId="000002C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  <w:rtl w:val="0"/>
              </w:rPr>
              <w:t xml:space="preserve">Ejecutado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3cddd" w:val="clear"/>
            <w:vAlign w:val="center"/>
          </w:tcPr>
          <w:p w:rsidR="00000000" w:rsidDel="00000000" w:rsidP="00000000" w:rsidRDefault="00000000" w:rsidRPr="00000000" w14:paraId="000002C6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  <w:rtl w:val="0"/>
              </w:rPr>
              <w:t xml:space="preserve">Diferencia en ejecución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3cddd" w:val="clear"/>
            <w:vAlign w:val="center"/>
          </w:tcPr>
          <w:p w:rsidR="00000000" w:rsidDel="00000000" w:rsidP="00000000" w:rsidRDefault="00000000" w:rsidRPr="00000000" w14:paraId="000002C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  <w:rtl w:val="0"/>
              </w:rPr>
              <w:t xml:space="preserve">% ejecución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8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Población Total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exp_p_1 }}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B">
            <w:pPr>
              <w:widowControl w:val="0"/>
              <w:spacing w:after="0" w:line="276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exp_e_1 }}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exp_d_1 }}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exp_r_1 }}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Población con Agua Potable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0">
            <w:pPr>
              <w:widowControl w:val="0"/>
              <w:spacing w:after="0" w:line="276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exp_p_2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1">
            <w:pPr>
              <w:widowControl w:val="0"/>
              <w:spacing w:after="0" w:line="276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exp_e_2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2">
            <w:pPr>
              <w:widowControl w:val="0"/>
              <w:spacing w:after="0" w:line="276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exp_d_2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3">
            <w:pPr>
              <w:widowControl w:val="0"/>
              <w:spacing w:after="0" w:line="276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exp_r_2 }}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Población con Alcantarillado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6">
            <w:pPr>
              <w:widowControl w:val="0"/>
              <w:spacing w:after="0" w:line="276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exp_p_3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7">
            <w:pPr>
              <w:widowControl w:val="0"/>
              <w:spacing w:after="0" w:line="276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exp_e_3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8">
            <w:pPr>
              <w:widowControl w:val="0"/>
              <w:spacing w:after="0" w:line="276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exp_d_3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9">
            <w:pPr>
              <w:widowControl w:val="0"/>
              <w:spacing w:after="0" w:line="276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exp_r_3 }}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A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Conexiones Nuevas de Agua Potable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C">
            <w:pPr>
              <w:widowControl w:val="0"/>
              <w:spacing w:after="0" w:line="276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exp_p_4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D">
            <w:pPr>
              <w:widowControl w:val="0"/>
              <w:spacing w:after="0" w:line="276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exp_e_4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E">
            <w:pPr>
              <w:widowControl w:val="0"/>
              <w:spacing w:after="0" w:line="276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exp_d_4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F">
            <w:pPr>
              <w:widowControl w:val="0"/>
              <w:spacing w:after="0" w:line="276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exp_r_4 }}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0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Total Conexiones de Agua Potable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2">
            <w:pPr>
              <w:widowControl w:val="0"/>
              <w:spacing w:after="0" w:line="276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exp_p_5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3">
            <w:pPr>
              <w:widowControl w:val="0"/>
              <w:spacing w:after="0" w:line="276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exp_e_5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4">
            <w:pPr>
              <w:widowControl w:val="0"/>
              <w:spacing w:after="0" w:line="276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exp_d_5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5">
            <w:pPr>
              <w:widowControl w:val="0"/>
              <w:spacing w:after="0" w:line="276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exp_r_5 }}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6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Cobertura de Agua Potable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8">
            <w:pPr>
              <w:widowControl w:val="0"/>
              <w:spacing w:after="0" w:line="276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exp_p_6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9">
            <w:pPr>
              <w:widowControl w:val="0"/>
              <w:spacing w:after="0" w:line="276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exp_e_6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A">
            <w:pPr>
              <w:widowControl w:val="0"/>
              <w:spacing w:after="0" w:line="276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exp_d_6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B">
            <w:pPr>
              <w:widowControl w:val="0"/>
              <w:spacing w:after="0" w:line="276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exp_r_6 }}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Conexiones Nuevas de Alcantarillado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E">
            <w:pPr>
              <w:widowControl w:val="0"/>
              <w:spacing w:after="0" w:line="276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exp_p_7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F">
            <w:pPr>
              <w:widowControl w:val="0"/>
              <w:spacing w:after="0" w:line="276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exp_e_7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0">
            <w:pPr>
              <w:widowControl w:val="0"/>
              <w:spacing w:after="0" w:line="276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exp_d_7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1">
            <w:pPr>
              <w:widowControl w:val="0"/>
              <w:spacing w:after="0" w:line="276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exp_r_7 }}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Total Conexiones de Alcantarillado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4">
            <w:pPr>
              <w:widowControl w:val="0"/>
              <w:spacing w:after="0" w:line="276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exp_p_8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5">
            <w:pPr>
              <w:widowControl w:val="0"/>
              <w:spacing w:after="0" w:line="276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exp_e_8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6">
            <w:pPr>
              <w:widowControl w:val="0"/>
              <w:spacing w:after="0" w:line="276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exp_d_8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7">
            <w:pPr>
              <w:widowControl w:val="0"/>
              <w:spacing w:after="0" w:line="276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exp_r_8 }}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8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Cobertura de Alcantarillado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A">
            <w:pPr>
              <w:widowControl w:val="0"/>
              <w:spacing w:after="0" w:line="276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exp_p_9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B">
            <w:pPr>
              <w:widowControl w:val="0"/>
              <w:spacing w:after="0" w:line="276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exp_e_9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C">
            <w:pPr>
              <w:widowControl w:val="0"/>
              <w:spacing w:after="0" w:line="276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exp_d_9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D">
            <w:pPr>
              <w:widowControl w:val="0"/>
              <w:spacing w:after="0" w:line="276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exp_r_9 }}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Cobertura de Micromedición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00">
            <w:pPr>
              <w:widowControl w:val="0"/>
              <w:spacing w:after="0" w:line="276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exp_p_10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01">
            <w:pPr>
              <w:widowControl w:val="0"/>
              <w:spacing w:after="0" w:line="276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exp_e_10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2">
            <w:pPr>
              <w:widowControl w:val="0"/>
              <w:spacing w:after="0" w:line="276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exp_d_10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03">
            <w:pPr>
              <w:widowControl w:val="0"/>
              <w:spacing w:after="0" w:line="276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exp_r_10 }}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0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0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Agua No Contabilizada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06">
            <w:pPr>
              <w:widowControl w:val="0"/>
              <w:spacing w:after="0" w:line="276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exp_p_11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07">
            <w:pPr>
              <w:widowControl w:val="0"/>
              <w:spacing w:after="0" w:line="276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exp_e_11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8">
            <w:pPr>
              <w:widowControl w:val="0"/>
              <w:spacing w:after="0" w:line="276" w:lineRule="auto"/>
              <w:jc w:val="righ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exp_d_11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09">
            <w:pPr>
              <w:widowControl w:val="0"/>
              <w:spacing w:after="0" w:line="276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{{ exp_r_11 }}</w:t>
            </w:r>
          </w:p>
        </w:tc>
      </w:tr>
    </w:tbl>
    <w:p w:rsidR="00000000" w:rsidDel="00000000" w:rsidP="00000000" w:rsidRDefault="00000000" w:rsidRPr="00000000" w14:paraId="0000030A">
      <w:pPr>
        <w:spacing w:after="0" w:line="240" w:lineRule="auto"/>
        <w:ind w:left="0" w:firstLine="0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0" w:line="240" w:lineRule="auto"/>
        <w:ind w:left="720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5" w:right="0" w:hanging="495"/>
        <w:jc w:val="both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CONCLUSIONES Y RECOMENDACIONES</w:t>
      </w:r>
    </w:p>
    <w:p w:rsidR="00000000" w:rsidDel="00000000" w:rsidP="00000000" w:rsidRDefault="00000000" w:rsidRPr="00000000" w14:paraId="0000030D">
      <w:pPr>
        <w:spacing w:after="0" w:line="240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8" w:top="828" w:left="1701" w:right="1327" w:header="284" w:footer="6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ambria"/>
  <w:font w:name="Georgia"/>
  <w:font w:name="Times New Roman"/>
  <w:font w:name="Courier New"/>
  <w:font w:name="Overloc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2171700</wp:posOffset>
              </wp:positionH>
              <wp:positionV relativeFrom="paragraph">
                <wp:posOffset>-279399</wp:posOffset>
              </wp:positionV>
              <wp:extent cx="3861435" cy="50927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3424808" y="3534890"/>
                        <a:ext cx="3842385" cy="490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Av. Mariscal Santa Cruz No. 1392, Edif. Cámara de Comercio, Pisos 16 y 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Teléfono Piloto: (591 -2) 2310801 / Fax: 2310554 / Casilla: 4245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La Paz –Bolivia  http://www.aaps.gob.bo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2171700</wp:posOffset>
              </wp:positionH>
              <wp:positionV relativeFrom="paragraph">
                <wp:posOffset>-279399</wp:posOffset>
              </wp:positionV>
              <wp:extent cx="3861435" cy="509270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61435" cy="5092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-279399</wp:posOffset>
              </wp:positionV>
              <wp:extent cx="5904230" cy="222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98648" y="3779365"/>
                        <a:ext cx="5894705" cy="127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-279399</wp:posOffset>
              </wp:positionV>
              <wp:extent cx="5904230" cy="22225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423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15242</wp:posOffset>
          </wp:positionH>
          <wp:positionV relativeFrom="paragraph">
            <wp:posOffset>-169543</wp:posOffset>
          </wp:positionV>
          <wp:extent cx="815975" cy="533400"/>
          <wp:effectExtent b="0" l="0" r="0" t="0"/>
          <wp:wrapSquare wrapText="bothSides" distB="0" distT="0" distL="114300" distR="114300"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5975" cy="5334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848.0" w:type="dxa"/>
      <w:jc w:val="left"/>
      <w:tblInd w:w="-598.0" w:type="dxa"/>
      <w:tblLayout w:type="fixed"/>
      <w:tblLook w:val="0000"/>
    </w:tblPr>
    <w:tblGrid>
      <w:gridCol w:w="1999"/>
      <w:gridCol w:w="5661"/>
      <w:gridCol w:w="2188"/>
      <w:tblGridChange w:id="0">
        <w:tblGrid>
          <w:gridCol w:w="1999"/>
          <w:gridCol w:w="5661"/>
          <w:gridCol w:w="2188"/>
        </w:tblGrid>
      </w:tblGridChange>
    </w:tblGrid>
    <w:tr>
      <w:trPr>
        <w:trHeight w:val="1560" w:hRule="atLeast"/>
      </w:trPr>
      <w:tc>
        <w:tcPr>
          <w:tcMar>
            <w:top w:w="57.0" w:type="dxa"/>
            <w:left w:w="57.0" w:type="dxa"/>
            <w:bottom w:w="57.0" w:type="dxa"/>
            <w:right w:w="57.0" w:type="dxa"/>
          </w:tcMar>
          <w:vAlign w:val="center"/>
        </w:tcPr>
        <w:p w:rsidR="00000000" w:rsidDel="00000000" w:rsidP="00000000" w:rsidRDefault="00000000" w:rsidRPr="00000000" w14:paraId="000003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Overlock" w:cs="Overlock" w:eastAsia="Overlock" w:hAnsi="Overlock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2679700</wp:posOffset>
                    </wp:positionH>
                    <wp:positionV relativeFrom="paragraph">
                      <wp:posOffset>2006600</wp:posOffset>
                    </wp:positionV>
                    <wp:extent cx="488315" cy="237490"/>
                    <wp:effectExtent b="0" l="0" r="0" t="0"/>
                    <wp:wrapNone/>
                    <wp:docPr id="2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5101843" y="3661255"/>
                              <a:ext cx="488315" cy="237490"/>
                              <a:chOff x="5101843" y="3661255"/>
                              <a:chExt cx="488315" cy="237491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5101843" y="3661255"/>
                                <a:ext cx="488315" cy="237491"/>
                                <a:chOff x="5101843" y="3661255"/>
                                <a:chExt cx="488315" cy="237492"/>
                              </a:xfrm>
                            </wpg:grpSpPr>
                            <wps:wsp>
                              <wps:cNvSpPr/>
                              <wps:cNvPr id="4" name="Shape 4"/>
                              <wps:spPr>
                                <a:xfrm>
                                  <a:off x="5101843" y="3661255"/>
                                  <a:ext cx="488300" cy="237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g:grpSp>
                              <wpg:cNvGrpSpPr/>
                              <wpg:grpSpPr>
                                <a:xfrm>
                                  <a:off x="5101843" y="3661255"/>
                                  <a:ext cx="488315" cy="237492"/>
                                  <a:chOff x="689" y="3255"/>
                                  <a:chExt cx="769" cy="374"/>
                                </a:xfrm>
                              </wpg:grpSpPr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689" y="3255"/>
                                    <a:ext cx="750" cy="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689" y="3263"/>
                                    <a:ext cx="769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PAGE    \* MERGEFORMAT</w:t>
                                      </w: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403152"/>
                                          <w:sz w:val="16"/>
                                          <w:vertAlign w:val="baseline"/>
                                        </w:rPr>
                                        <w:t xml:space="preserve">1</w:t>
                                      </w:r>
                                    </w:p>
                                  </w:txbxContent>
                                </wps:txbx>
                                <wps:bodyPr anchorCtr="0" anchor="ctr" bIns="0" lIns="0" spcFirstLastPara="1" rIns="0" wrap="square" tIns="0"/>
                              </wps:wsp>
                              <wpg:grpSp>
                                <wpg:cNvGrpSpPr/>
                                <wpg:grpSpPr>
                                  <a:xfrm>
                                    <a:off x="886" y="3255"/>
                                    <a:ext cx="374" cy="374"/>
                                    <a:chOff x="1453" y="14832"/>
                                    <a:chExt cx="374" cy="374"/>
                                  </a:xfrm>
                                </wpg:grpSpPr>
                                <wps:wsp>
                                  <wps:cNvSpPr/>
                                  <wps:cNvPr id="9" name="Shape 9"/>
                                  <wps:spPr>
                                    <a:xfrm>
                                      <a:off x="1453" y="14832"/>
                                      <a:ext cx="374" cy="374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84A2C6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/>
                                </wps:wsp>
                                <wps:wsp>
                                  <wps:cNvSpPr/>
                                  <wps:cNvPr id="10" name="Shape 10"/>
                                  <wps:spPr>
                                    <a:xfrm>
                                      <a:off x="1462" y="14835"/>
                                      <a:ext cx="101" cy="10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4A2C6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/>
                                </wps:wsp>
                              </wpg:grpSp>
                            </wpg:grp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2679700</wp:posOffset>
                    </wp:positionH>
                    <wp:positionV relativeFrom="paragraph">
                      <wp:posOffset>2006600</wp:posOffset>
                    </wp:positionV>
                    <wp:extent cx="488315" cy="237490"/>
                    <wp:effectExtent b="0" l="0" r="0" t="0"/>
                    <wp:wrapNone/>
                    <wp:docPr id="2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88315" cy="2374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-13968</wp:posOffset>
                </wp:positionV>
                <wp:extent cx="763905" cy="657860"/>
                <wp:effectExtent b="0" l="0" r="0" t="0"/>
                <wp:wrapNone/>
                <wp:docPr descr="Logo Bolivia" id="6" name="image3.png"/>
                <a:graphic>
                  <a:graphicData uri="http://schemas.openxmlformats.org/drawingml/2006/picture">
                    <pic:pic>
                      <pic:nvPicPr>
                        <pic:cNvPr descr="Logo Bolivia"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3905" cy="657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3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Overlock" w:cs="Overlock" w:eastAsia="Overlock" w:hAnsi="Overlock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Overlock" w:cs="Overlock" w:eastAsia="Overlock" w:hAnsi="Overlock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Overlock" w:cs="Overlock" w:eastAsia="Overlock" w:hAnsi="Overlock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Overlock" w:cs="Overlock" w:eastAsia="Overlock" w:hAnsi="Overlock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ESTADO PLURINACIONAL</w:t>
          </w:r>
        </w:p>
        <w:p w:rsidR="00000000" w:rsidDel="00000000" w:rsidP="00000000" w:rsidRDefault="00000000" w:rsidRPr="00000000" w14:paraId="000003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DE BOLIVIA</w:t>
          </w:r>
        </w:p>
      </w:tc>
      <w:tc>
        <w:tcPr>
          <w:vAlign w:val="center"/>
        </w:tcPr>
        <w:p w:rsidR="00000000" w:rsidDel="00000000" w:rsidP="00000000" w:rsidRDefault="00000000" w:rsidRPr="00000000" w14:paraId="000003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AUTORIDAD DE FISCALIZACIÓN Y CONTROL SOCIAL</w:t>
          </w:r>
        </w:p>
        <w:p w:rsidR="00000000" w:rsidDel="00000000" w:rsidP="00000000" w:rsidRDefault="00000000" w:rsidRPr="00000000" w14:paraId="000003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 AGUA POTABLE Y SANEAMIENTO BÁSICO</w:t>
          </w:r>
        </w:p>
        <w:p w:rsidR="00000000" w:rsidDel="00000000" w:rsidP="00000000" w:rsidRDefault="00000000" w:rsidRPr="00000000" w14:paraId="000003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MINISTERIO DE MEDIO AMBIENTE Y AGUA</w:t>
          </w:r>
        </w:p>
      </w:tc>
      <w:tc>
        <w:tcPr>
          <w:vAlign w:val="bottom"/>
        </w:tcPr>
        <w:p w:rsidR="00000000" w:rsidDel="00000000" w:rsidP="00000000" w:rsidRDefault="00000000" w:rsidRPr="00000000" w14:paraId="000003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Overlock" w:cs="Overlock" w:eastAsia="Overlock" w:hAnsi="Overlock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-53338</wp:posOffset>
                </wp:positionH>
                <wp:positionV relativeFrom="paragraph">
                  <wp:posOffset>-875027</wp:posOffset>
                </wp:positionV>
                <wp:extent cx="1350645" cy="876300"/>
                <wp:effectExtent b="0" l="0" r="0" t="0"/>
                <wp:wrapSquare wrapText="bothSides" distB="0" distT="0" distL="114300" distR="114300"/>
                <wp:docPr descr="logo aaps 2013" id="8" name="image1.png"/>
                <a:graphic>
                  <a:graphicData uri="http://schemas.openxmlformats.org/drawingml/2006/picture">
                    <pic:pic>
                      <pic:nvPicPr>
                        <pic:cNvPr descr="logo aaps 2013" id="0" name="image1.pn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645" cy="876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3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-567" w:right="0" w:firstLine="567"/>
      <w:jc w:val="left"/>
      <w:rPr>
        <w:rFonts w:ascii="Overlock" w:cs="Overlock" w:eastAsia="Overlock" w:hAnsi="Overlock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-355599</wp:posOffset>
              </wp:positionH>
              <wp:positionV relativeFrom="paragraph">
                <wp:posOffset>0</wp:posOffset>
              </wp:positionV>
              <wp:extent cx="6236970" cy="762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46565" y="3780000"/>
                        <a:ext cx="619887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1F497D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-355599</wp:posOffset>
              </wp:positionH>
              <wp:positionV relativeFrom="paragraph">
                <wp:posOffset>0</wp:posOffset>
              </wp:positionV>
              <wp:extent cx="6236970" cy="76200"/>
              <wp:effectExtent b="0" l="0" r="0" t="0"/>
              <wp:wrapNone/>
              <wp:docPr id="5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36970" cy="7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3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495" w:hanging="495"/>
      </w:pPr>
      <w:rPr/>
    </w:lvl>
    <w:lvl w:ilvl="1">
      <w:start w:val="2"/>
      <w:numFmt w:val="decimal"/>
      <w:lvlText w:val="%1.%2."/>
      <w:lvlJc w:val="left"/>
      <w:pPr>
        <w:ind w:left="495" w:hanging="495"/>
      </w:pPr>
      <w:rPr/>
    </w:lvl>
    <w:lvl w:ilvl="2">
      <w:start w:val="2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495" w:hanging="495"/>
      </w:pPr>
      <w:rPr/>
    </w:lvl>
    <w:lvl w:ilvl="1">
      <w:start w:val="3"/>
      <w:numFmt w:val="decimal"/>
      <w:lvlText w:val="%1.%2."/>
      <w:lvlJc w:val="left"/>
      <w:pPr>
        <w:ind w:left="495" w:hanging="495"/>
      </w:pPr>
      <w:rPr>
        <w:b w:val="1"/>
      </w:rPr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674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 w:val="1"/>
      </w:rPr>
    </w:lvl>
    <w:lvl w:ilvl="2">
      <w:start w:val="1"/>
      <w:numFmt w:val="bullet"/>
      <w:lvlText w:val="●"/>
      <w:lvlJc w:val="left"/>
      <w:pPr>
        <w:ind w:left="720" w:hanging="720"/>
      </w:pPr>
      <w:rPr>
        <w:rFonts w:ascii="Noto Sans Symbols" w:cs="Noto Sans Symbols" w:eastAsia="Noto Sans Symbols" w:hAnsi="Noto Sans Symbols"/>
        <w:color w:val="000000"/>
      </w:rPr>
    </w:lvl>
    <w:lvl w:ilvl="3">
      <w:start w:val="1"/>
      <w:numFmt w:val="decimal"/>
      <w:lvlText w:val="%1.%2.●.%4."/>
      <w:lvlJc w:val="left"/>
      <w:pPr>
        <w:ind w:left="720" w:hanging="720"/>
      </w:pPr>
      <w:rPr/>
    </w:lvl>
    <w:lvl w:ilvl="4">
      <w:start w:val="1"/>
      <w:numFmt w:val="decimal"/>
      <w:lvlText w:val="%1.%2.●.%4.%5."/>
      <w:lvlJc w:val="left"/>
      <w:pPr>
        <w:ind w:left="1080" w:hanging="1080"/>
      </w:pPr>
      <w:rPr/>
    </w:lvl>
    <w:lvl w:ilvl="5">
      <w:start w:val="1"/>
      <w:numFmt w:val="decimal"/>
      <w:lvlText w:val="%1.%2.●.%4.%5.%6."/>
      <w:lvlJc w:val="left"/>
      <w:pPr>
        <w:ind w:left="1080" w:hanging="1080"/>
      </w:pPr>
      <w:rPr/>
    </w:lvl>
    <w:lvl w:ilvl="6">
      <w:start w:val="1"/>
      <w:numFmt w:val="decimal"/>
      <w:lvlText w:val="%1.%2.●.%4.%5.%6.%7."/>
      <w:lvlJc w:val="left"/>
      <w:pPr>
        <w:ind w:left="1440" w:hanging="1440"/>
      </w:pPr>
      <w:rPr/>
    </w:lvl>
    <w:lvl w:ilvl="7">
      <w:start w:val="1"/>
      <w:numFmt w:val="decimal"/>
      <w:lvlText w:val="%1.%2.●.%4.%5.%6.%7.%8."/>
      <w:lvlJc w:val="left"/>
      <w:pPr>
        <w:ind w:left="1440" w:hanging="1440"/>
      </w:pPr>
      <w:rPr/>
    </w:lvl>
    <w:lvl w:ilvl="8">
      <w:start w:val="1"/>
      <w:numFmt w:val="decimal"/>
      <w:lvlText w:val="%1.%2.●.%4.%5.%6.%7.%8.%9."/>
      <w:lvlJc w:val="left"/>
      <w:pPr>
        <w:ind w:left="1800" w:hanging="1800"/>
      </w:pPr>
      <w:rPr/>
    </w:lvl>
  </w:abstractNum>
  <w:abstractNum w:abstractNumId="6">
    <w:lvl w:ilvl="0">
      <w:start w:val="2"/>
      <w:numFmt w:val="decimal"/>
      <w:lvlText w:val="%1"/>
      <w:lvlJc w:val="left"/>
      <w:pPr>
        <w:ind w:left="435" w:hanging="435"/>
      </w:pPr>
      <w:rPr/>
    </w:lvl>
    <w:lvl w:ilvl="1">
      <w:start w:val="2"/>
      <w:numFmt w:val="decimal"/>
      <w:lvlText w:val="%1.%2"/>
      <w:lvlJc w:val="left"/>
      <w:pPr>
        <w:ind w:left="435" w:hanging="435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right"/>
    </w:pPr>
    <w:rPr>
      <w:rFonts w:ascii="Arial" w:cs="Arial" w:eastAsia="Arial" w:hAnsi="Arial"/>
      <w:b w:val="1"/>
      <w:color w:val="000000"/>
      <w:sz w:val="14"/>
      <w:szCs w:val="14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Times New Roman" w:cs="Times New Roman" w:eastAsia="Times New Roman" w:hAnsi="Times New Roman"/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Times New Roman" w:cs="Times New Roman" w:eastAsia="Times New Roman" w:hAnsi="Times New Roman"/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Times New Roman" w:cs="Times New Roman" w:eastAsia="Times New Roman" w:hAnsi="Times New Roman"/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Times New Roman" w:cs="Times New Roman" w:eastAsia="Times New Roman" w:hAnsi="Times New Roman"/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rPr>
      <w:rFonts w:ascii="Times New Roman" w:cs="Times New Roman" w:eastAsia="Times New Roman" w:hAnsi="Times New Roman"/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Times New Roman" w:cs="Times New Roman" w:eastAsia="Times New Roman" w:hAnsi="Times New Roman"/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Times New Roman" w:cs="Times New Roman" w:eastAsia="Times New Roman" w:hAnsi="Times New Roman"/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verlock-regular.ttf"/><Relationship Id="rId2" Type="http://schemas.openxmlformats.org/officeDocument/2006/relationships/font" Target="fonts/Overlock-bold.ttf"/><Relationship Id="rId3" Type="http://schemas.openxmlformats.org/officeDocument/2006/relationships/font" Target="fonts/Overlock-italic.ttf"/><Relationship Id="rId4" Type="http://schemas.openxmlformats.org/officeDocument/2006/relationships/font" Target="fonts/Overlock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4.png"/><Relationship Id="rId3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Relationship Id="rId3" Type="http://schemas.openxmlformats.org/officeDocument/2006/relationships/image" Target="media/image1.pn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