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4C17F71C" w:rsidR="009303D9" w:rsidRPr="007A2F90" w:rsidRDefault="003A0363" w:rsidP="006347CF">
      <w:pPr>
        <w:pStyle w:val="papertitle"/>
        <w:spacing w:before="5pt" w:beforeAutospacing="1" w:after="5pt" w:afterAutospacing="1"/>
        <w:rPr>
          <w:lang w:val="en-IE"/>
        </w:rPr>
      </w:pPr>
      <w:r w:rsidRPr="003A0363">
        <w:rPr>
          <w:lang w:val="en-IE"/>
        </w:rPr>
        <w:t xml:space="preserve">A </w:t>
      </w:r>
      <w:r>
        <w:rPr>
          <w:lang w:val="en-IE"/>
        </w:rPr>
        <w:t>D</w:t>
      </w:r>
      <w:r w:rsidRPr="003A0363">
        <w:rPr>
          <w:lang w:val="en-IE"/>
        </w:rPr>
        <w:t xml:space="preserve">ynamic </w:t>
      </w:r>
      <w:r>
        <w:rPr>
          <w:lang w:val="en-IE"/>
        </w:rPr>
        <w:t>W</w:t>
      </w:r>
      <w:r w:rsidRPr="003A0363">
        <w:rPr>
          <w:lang w:val="en-IE"/>
        </w:rPr>
        <w:t xml:space="preserve">eb </w:t>
      </w:r>
      <w:r>
        <w:rPr>
          <w:lang w:val="en-IE"/>
        </w:rPr>
        <w:t>A</w:t>
      </w:r>
      <w:r w:rsidRPr="003A0363">
        <w:rPr>
          <w:lang w:val="en-IE"/>
        </w:rPr>
        <w:t xml:space="preserve">pplication </w:t>
      </w:r>
      <w:r>
        <w:rPr>
          <w:lang w:val="en-IE"/>
        </w:rPr>
        <w:t>t</w:t>
      </w:r>
      <w:r w:rsidRPr="003A0363">
        <w:rPr>
          <w:lang w:val="en-IE"/>
        </w:rPr>
        <w:t xml:space="preserve">hat </w:t>
      </w:r>
      <w:r>
        <w:rPr>
          <w:lang w:val="en-IE"/>
        </w:rPr>
        <w:t>I</w:t>
      </w:r>
      <w:r w:rsidRPr="003A0363">
        <w:rPr>
          <w:lang w:val="en-IE"/>
        </w:rPr>
        <w:t xml:space="preserve">mplements and </w:t>
      </w:r>
      <w:r>
        <w:rPr>
          <w:lang w:val="en-IE"/>
        </w:rPr>
        <w:t>A</w:t>
      </w:r>
      <w:r w:rsidRPr="003A0363">
        <w:rPr>
          <w:lang w:val="en-IE"/>
        </w:rPr>
        <w:t xml:space="preserve">nalyzes </w:t>
      </w:r>
      <w:r>
        <w:rPr>
          <w:lang w:val="en-IE"/>
        </w:rPr>
        <w:t>S</w:t>
      </w:r>
      <w:r w:rsidRPr="003A0363">
        <w:rPr>
          <w:lang w:val="en-IE"/>
        </w:rPr>
        <w:t xml:space="preserve">tatic and </w:t>
      </w:r>
      <w:r>
        <w:rPr>
          <w:lang w:val="en-IE"/>
        </w:rPr>
        <w:t>D</w:t>
      </w:r>
      <w:r w:rsidRPr="003A0363">
        <w:rPr>
          <w:lang w:val="en-IE"/>
        </w:rPr>
        <w:t xml:space="preserve">ynamic </w:t>
      </w:r>
      <w:r>
        <w:rPr>
          <w:lang w:val="en-IE"/>
        </w:rPr>
        <w:t>S</w:t>
      </w:r>
      <w:r w:rsidRPr="003A0363">
        <w:rPr>
          <w:lang w:val="en-IE"/>
        </w:rPr>
        <w:t xml:space="preserve">ecurity with </w:t>
      </w:r>
      <w:r>
        <w:rPr>
          <w:lang w:val="en-IE"/>
        </w:rPr>
        <w:t>P</w:t>
      </w:r>
      <w:r w:rsidRPr="003A0363">
        <w:rPr>
          <w:lang w:val="en-IE"/>
        </w:rPr>
        <w:t xml:space="preserve">ipeline </w:t>
      </w:r>
      <w:r>
        <w:rPr>
          <w:lang w:val="en-IE"/>
        </w:rPr>
        <w:t>I</w:t>
      </w:r>
      <w:r w:rsidRPr="003A0363">
        <w:rPr>
          <w:lang w:val="en-IE"/>
        </w:rPr>
        <w:t>mplementation</w:t>
      </w:r>
    </w:p>
    <w:p w14:paraId="517AC20D" w14:textId="158075EB" w:rsidR="00D7522C" w:rsidRPr="007A2F90" w:rsidRDefault="00D7522C" w:rsidP="00156B74">
      <w:pPr>
        <w:pStyle w:val="Author"/>
        <w:spacing w:before="5pt" w:beforeAutospacing="1" w:after="5pt" w:afterAutospacing="1"/>
        <w:rPr>
          <w:sz w:val="16"/>
          <w:szCs w:val="16"/>
          <w:lang w:val="en-IE"/>
        </w:rPr>
      </w:pPr>
    </w:p>
    <w:p w14:paraId="6D735D00" w14:textId="77777777" w:rsidR="00D7522C" w:rsidRPr="007A2F90" w:rsidRDefault="00D7522C" w:rsidP="00CA4392">
      <w:pPr>
        <w:pStyle w:val="Author"/>
        <w:spacing w:before="5pt" w:beforeAutospacing="1" w:after="5pt" w:afterAutospacing="1" w:line="6pt" w:lineRule="auto"/>
        <w:rPr>
          <w:sz w:val="16"/>
          <w:szCs w:val="16"/>
          <w:lang w:val="en-IE"/>
        </w:rPr>
        <w:sectPr w:rsidR="00D7522C" w:rsidRPr="007A2F90" w:rsidSect="001A3B3D">
          <w:footerReference w:type="first" r:id="rId8"/>
          <w:pgSz w:w="612pt" w:h="792pt" w:code="1"/>
          <w:pgMar w:top="54pt" w:right="44.65pt" w:bottom="72pt" w:left="44.65pt" w:header="36pt" w:footer="36pt" w:gutter="0pt"/>
          <w:cols w:space="36pt"/>
          <w:titlePg/>
          <w:docGrid w:linePitch="360"/>
        </w:sectPr>
      </w:pPr>
    </w:p>
    <w:p w14:paraId="3444B6E4" w14:textId="7D97E9B7" w:rsidR="006571B6" w:rsidRPr="006571B6" w:rsidRDefault="009A05EC" w:rsidP="006571B6">
      <w:pPr>
        <w:pStyle w:val="Author"/>
        <w:spacing w:before="0pt" w:after="0pt"/>
        <w:rPr>
          <w:sz w:val="18"/>
          <w:szCs w:val="18"/>
          <w:lang w:val="en-IE"/>
        </w:rPr>
      </w:pPr>
      <w:r w:rsidRPr="006571B6">
        <w:rPr>
          <w:sz w:val="18"/>
          <w:szCs w:val="18"/>
          <w:lang w:val="en-IE"/>
        </w:rPr>
        <w:t>S</w:t>
      </w:r>
      <w:r w:rsidR="006571B6" w:rsidRPr="006571B6">
        <w:rPr>
          <w:sz w:val="18"/>
          <w:szCs w:val="18"/>
          <w:lang w:val="en-IE"/>
        </w:rPr>
        <w:t>é</w:t>
      </w:r>
      <w:r w:rsidRPr="006571B6">
        <w:rPr>
          <w:sz w:val="18"/>
          <w:szCs w:val="18"/>
          <w:lang w:val="en-IE"/>
        </w:rPr>
        <w:t>rgio Oliveira</w:t>
      </w:r>
      <w:r w:rsidR="006571B6" w:rsidRPr="006571B6">
        <w:rPr>
          <w:sz w:val="18"/>
          <w:szCs w:val="18"/>
          <w:lang w:val="en-IE"/>
        </w:rPr>
        <w:t xml:space="preserve"> </w:t>
      </w:r>
      <w:r w:rsidR="001A3B3D" w:rsidRPr="006571B6">
        <w:rPr>
          <w:sz w:val="18"/>
          <w:szCs w:val="18"/>
          <w:lang w:val="en-IE"/>
        </w:rPr>
        <w:t xml:space="preserve"> </w:t>
      </w:r>
      <w:r w:rsidR="001A3B3D" w:rsidRPr="006571B6">
        <w:rPr>
          <w:sz w:val="18"/>
          <w:szCs w:val="18"/>
          <w:lang w:val="en-IE"/>
        </w:rPr>
        <w:br/>
      </w:r>
      <w:r w:rsidR="006571B6" w:rsidRPr="006571B6">
        <w:rPr>
          <w:sz w:val="18"/>
          <w:szCs w:val="18"/>
          <w:lang w:val="en-IE"/>
        </w:rPr>
        <w:t xml:space="preserve">StudantID: </w:t>
      </w:r>
      <w:r w:rsidR="006571B6" w:rsidRPr="006571B6">
        <w:rPr>
          <w:sz w:val="18"/>
          <w:szCs w:val="18"/>
          <w:lang w:val="en-IE"/>
        </w:rPr>
        <w:t>23170981</w:t>
      </w:r>
    </w:p>
    <w:p w14:paraId="6AAB7957" w14:textId="53A910E2" w:rsidR="009303D9" w:rsidRPr="006571B6" w:rsidRDefault="006571B6" w:rsidP="006571B6">
      <w:pPr>
        <w:pStyle w:val="Author"/>
        <w:spacing w:before="0pt" w:after="0pt"/>
        <w:rPr>
          <w:sz w:val="18"/>
          <w:szCs w:val="18"/>
          <w:lang w:val="en-IE"/>
        </w:rPr>
      </w:pPr>
      <w:r w:rsidRPr="006571B6">
        <w:rPr>
          <w:sz w:val="18"/>
          <w:szCs w:val="18"/>
          <w:lang w:val="en-IE"/>
        </w:rPr>
        <w:t>Cloud DevOpsSec, MSc in Cloud Computing</w:t>
      </w:r>
      <w:r w:rsidR="00D72D06" w:rsidRPr="006571B6">
        <w:rPr>
          <w:sz w:val="18"/>
          <w:szCs w:val="18"/>
          <w:lang w:val="en-IE"/>
        </w:rPr>
        <w:br/>
      </w:r>
      <w:r w:rsidRPr="006571B6">
        <w:rPr>
          <w:sz w:val="18"/>
          <w:szCs w:val="18"/>
          <w:lang w:val="en-IE"/>
        </w:rPr>
        <w:t>National College of Ireland Dublin, IRELAND</w:t>
      </w:r>
      <w:r w:rsidR="001A3B3D" w:rsidRPr="006571B6">
        <w:rPr>
          <w:sz w:val="18"/>
          <w:szCs w:val="18"/>
          <w:lang w:val="en-IE"/>
        </w:rPr>
        <w:br/>
      </w:r>
      <w:r w:rsidRPr="006571B6">
        <w:rPr>
          <w:sz w:val="18"/>
          <w:szCs w:val="18"/>
          <w:lang w:val="en-IE"/>
        </w:rPr>
        <w:t>x23170981@student.ncirl.ie. www.ncirl.ie</w:t>
      </w:r>
      <w:r w:rsidR="001A3B3D" w:rsidRPr="006571B6">
        <w:rPr>
          <w:sz w:val="18"/>
          <w:szCs w:val="18"/>
          <w:lang w:val="en-IE"/>
        </w:rPr>
        <w:br/>
      </w:r>
      <w:r w:rsidRPr="006571B6">
        <w:rPr>
          <w:sz w:val="18"/>
          <w:szCs w:val="18"/>
          <w:lang w:val="en-IE"/>
        </w:rPr>
        <w:t>Deployed Application URL: https://mini-erp-network-load-balance-bac4aa0fb93bafdd.elb.eu-west-1.amazonaws.com:8080</w:t>
      </w:r>
    </w:p>
    <w:p w14:paraId="44292629" w14:textId="51E19DB6" w:rsidR="006571B6" w:rsidRPr="006571B6" w:rsidRDefault="006571B6" w:rsidP="0092316C">
      <w:pPr>
        <w:pStyle w:val="Author"/>
        <w:spacing w:before="5pt" w:beforeAutospacing="1"/>
        <w:rPr>
          <w:lang w:val="en-IE"/>
        </w:rPr>
        <w:sectPr w:rsidR="006571B6" w:rsidRPr="006571B6">
          <w:type w:val="continuous"/>
          <w:pgSz w:w="612pt" w:h="792pt" w:code="1"/>
          <w:pgMar w:top="54pt" w:right="44.65pt" w:bottom="72pt" w:left="44.65pt" w:header="36pt" w:footer="36pt" w:gutter="0pt"/>
          <w:cols w:space="36pt"/>
          <w:docGrid w:linePitch="360"/>
        </w:sectPr>
      </w:pPr>
    </w:p>
    <w:p w14:paraId="58935029" w14:textId="77777777" w:rsidR="006347CF" w:rsidRPr="006571B6" w:rsidRDefault="006347CF" w:rsidP="00CA4392">
      <w:pPr>
        <w:pStyle w:val="Author"/>
        <w:spacing w:before="5pt" w:beforeAutospacing="1"/>
        <w:jc w:val="both"/>
        <w:rPr>
          <w:sz w:val="16"/>
          <w:szCs w:val="16"/>
          <w:lang w:val="en-IE"/>
        </w:rPr>
        <w:sectPr w:rsidR="006347CF" w:rsidRPr="006571B6" w:rsidSect="00F847A6">
          <w:type w:val="continuous"/>
          <w:pgSz w:w="612pt" w:h="792pt" w:code="1"/>
          <w:pgMar w:top="54pt" w:right="44.65pt" w:bottom="72pt" w:left="44.65pt" w:header="36pt" w:footer="36pt" w:gutter="0pt"/>
          <w:cols w:num="4" w:space="10.80pt"/>
          <w:docGrid w:linePitch="360"/>
        </w:sectPr>
      </w:pPr>
    </w:p>
    <w:p w14:paraId="063523EA" w14:textId="006D2988" w:rsidR="00033F22" w:rsidRDefault="00D36DB9" w:rsidP="00D36DB9">
      <w:pPr>
        <w:pStyle w:val="Abstract"/>
        <w:rPr>
          <w:lang w:val="en-IE"/>
        </w:rPr>
      </w:pPr>
      <w:r w:rsidRPr="00D36DB9">
        <w:rPr>
          <w:lang w:val="en-IE"/>
        </w:rPr>
        <w:t>Abstract—</w:t>
      </w:r>
      <w:r w:rsidR="006773BC" w:rsidRPr="006773BC">
        <w:t xml:space="preserve"> </w:t>
      </w:r>
      <w:r w:rsidR="006773BC">
        <w:t xml:space="preserve">This project </w:t>
      </w:r>
      <w:r w:rsidR="006773BC" w:rsidRPr="006773BC">
        <w:rPr>
          <w:lang w:val="en-IE"/>
        </w:rPr>
        <w:t>offering a comprehensive overview of implementations of the dynamic web application</w:t>
      </w:r>
      <w:r w:rsidR="006773BC">
        <w:rPr>
          <w:lang w:val="en-IE"/>
        </w:rPr>
        <w:t xml:space="preserve"> by</w:t>
      </w:r>
      <w:r w:rsidR="006773BC" w:rsidRPr="006773BC">
        <w:rPr>
          <w:lang w:val="en-IE"/>
        </w:rPr>
        <w:t xml:space="preserve"> using a completely automated lifecycle</w:t>
      </w:r>
      <w:r w:rsidR="006773BC">
        <w:rPr>
          <w:lang w:val="en-IE"/>
        </w:rPr>
        <w:t xml:space="preserve">. </w:t>
      </w:r>
      <w:r w:rsidR="006773BC" w:rsidRPr="006773BC">
        <w:rPr>
          <w:lang w:val="en-IE"/>
        </w:rPr>
        <w:t>It discusses several approaches to building, deploying, monitoring, maintaining, optimizing, and securitizing of solution and is covered under the three umbrellas of the Continuous Integration, Continuous Delivery and Continuous Deployment – CI/CD/CD.</w:t>
      </w:r>
      <w:r w:rsidRPr="00D36DB9">
        <w:rPr>
          <w:lang w:val="en-IE"/>
        </w:rPr>
        <w:t xml:space="preserve"> </w:t>
      </w:r>
    </w:p>
    <w:p w14:paraId="7DF69031" w14:textId="6FD57F1F" w:rsidR="006773BC" w:rsidRDefault="006773BC" w:rsidP="00D64B9C">
      <w:pPr>
        <w:pStyle w:val="Abstract"/>
        <w:rPr>
          <w:lang w:val="en-IE"/>
        </w:rPr>
      </w:pPr>
      <w:r w:rsidRPr="006773BC">
        <w:rPr>
          <w:lang w:val="en-IE"/>
        </w:rPr>
        <w:t>The proposed solution is using Spring Boot – Java and is containerized through AWS Elastic Container Service</w:t>
      </w:r>
      <w:r>
        <w:rPr>
          <w:lang w:val="en-IE"/>
        </w:rPr>
        <w:t xml:space="preserve"> -</w:t>
      </w:r>
      <w:r w:rsidRPr="006773BC">
        <w:rPr>
          <w:lang w:val="en-IE"/>
        </w:rPr>
        <w:t xml:space="preserve"> ECS. Its complete infrastructure is provisioned and orchestrated using Infrastructure as Code </w:t>
      </w:r>
      <w:r>
        <w:rPr>
          <w:lang w:val="en-IE"/>
        </w:rPr>
        <w:t xml:space="preserve">- </w:t>
      </w:r>
      <w:proofErr w:type="spellStart"/>
      <w:r w:rsidRPr="006773BC">
        <w:rPr>
          <w:lang w:val="en-IE"/>
        </w:rPr>
        <w:t>IaC</w:t>
      </w:r>
      <w:proofErr w:type="spellEnd"/>
      <w:r w:rsidRPr="006773BC">
        <w:rPr>
          <w:lang w:val="en-IE"/>
        </w:rPr>
        <w:t xml:space="preserve"> through Terraform. It generally integrates wide range of securitizing tools SAST </w:t>
      </w:r>
      <w:r>
        <w:rPr>
          <w:lang w:val="en-IE"/>
        </w:rPr>
        <w:t xml:space="preserve">- </w:t>
      </w:r>
      <w:r w:rsidRPr="006773BC">
        <w:rPr>
          <w:lang w:val="en-IE"/>
        </w:rPr>
        <w:t>Static Application Security Testing and DAST</w:t>
      </w:r>
      <w:r>
        <w:rPr>
          <w:lang w:val="en-IE"/>
        </w:rPr>
        <w:t xml:space="preserve"> -</w:t>
      </w:r>
      <w:r w:rsidRPr="006773BC">
        <w:rPr>
          <w:lang w:val="en-IE"/>
        </w:rPr>
        <w:t xml:space="preserve"> Dynamic Application Security Testing test methodologies to ensure full automated, high quality, and secure lifecycle.</w:t>
      </w:r>
    </w:p>
    <w:p w14:paraId="6A72429C" w14:textId="53F47716" w:rsidR="00D64B9C" w:rsidRDefault="006773BC" w:rsidP="00D64B9C">
      <w:pPr>
        <w:pStyle w:val="Abstract"/>
        <w:rPr>
          <w:lang w:val="en-IE"/>
        </w:rPr>
      </w:pPr>
      <w:r w:rsidRPr="006773BC">
        <w:rPr>
          <w:lang w:val="en-IE"/>
        </w:rPr>
        <w:t>The application itself is orchestrated by AWS</w:t>
      </w:r>
      <w:r>
        <w:rPr>
          <w:lang w:val="en-IE"/>
        </w:rPr>
        <w:t xml:space="preserve"> – Amazon Web Services</w:t>
      </w:r>
      <w:r w:rsidRPr="006773BC">
        <w:rPr>
          <w:lang w:val="en-IE"/>
        </w:rPr>
        <w:t xml:space="preserve"> native solutions which handles the processes of building, testing and deploying of the Docker image. This is done using </w:t>
      </w:r>
      <w:proofErr w:type="spellStart"/>
      <w:r w:rsidRPr="006773BC">
        <w:rPr>
          <w:lang w:val="en-IE"/>
        </w:rPr>
        <w:t>DevSecOps</w:t>
      </w:r>
      <w:proofErr w:type="spellEnd"/>
      <w:r w:rsidRPr="006773BC">
        <w:rPr>
          <w:lang w:val="en-IE"/>
        </w:rPr>
        <w:t xml:space="preserve"> practices and identification of artifacts such are SonarQube and ZAP where the SAST</w:t>
      </w:r>
      <w:r w:rsidR="00D64B9C">
        <w:rPr>
          <w:lang w:val="en-IE"/>
        </w:rPr>
        <w:t xml:space="preserve"> and DAST</w:t>
      </w:r>
      <w:r w:rsidRPr="006773BC">
        <w:rPr>
          <w:lang w:val="en-IE"/>
        </w:rPr>
        <w:t xml:space="preserve"> is applied.</w:t>
      </w:r>
    </w:p>
    <w:p w14:paraId="040DAC00" w14:textId="77777777" w:rsidR="00D64B9C" w:rsidRDefault="00D64B9C" w:rsidP="00D36DB9">
      <w:pPr>
        <w:pStyle w:val="Abstract"/>
        <w:rPr>
          <w:lang w:val="en-IE"/>
        </w:rPr>
      </w:pPr>
      <w:r w:rsidRPr="00D64B9C">
        <w:rPr>
          <w:lang w:val="en-IE"/>
        </w:rPr>
        <w:t xml:space="preserve">The goal is to ensure that the deviations either in vulnerabilities or high-spread quality malleability are always recognized and treated in the shortest possible time so that no deviations reaching production ever jeopardize the quality of the lifecycle. </w:t>
      </w:r>
    </w:p>
    <w:p w14:paraId="09405E9F" w14:textId="3CFF88E7" w:rsidR="00D64B9C" w:rsidRDefault="00D64B9C" w:rsidP="00D36DB9">
      <w:pPr>
        <w:pStyle w:val="Abstract"/>
        <w:rPr>
          <w:lang w:val="en-IE"/>
        </w:rPr>
      </w:pPr>
      <w:r>
        <w:rPr>
          <w:lang w:val="en-IE"/>
        </w:rPr>
        <w:t>The p</w:t>
      </w:r>
      <w:r w:rsidRPr="00D64B9C">
        <w:rPr>
          <w:lang w:val="en-IE"/>
        </w:rPr>
        <w:t>resented pipeline validates that the application development in the public cloud can be not only secure, but also comprehensive and fully automated while reaching high quality standards from the long term application perspective.</w:t>
      </w:r>
    </w:p>
    <w:p w14:paraId="03189D0F" w14:textId="2561EA7C" w:rsidR="00C05867" w:rsidRDefault="00C05867" w:rsidP="00C05867">
      <w:pPr>
        <w:pStyle w:val="Keywords"/>
        <w:rPr>
          <w:lang w:val="en-IE"/>
        </w:rPr>
      </w:pPr>
      <w:r w:rsidRPr="007A2F90">
        <w:rPr>
          <w:lang w:val="en-IE"/>
        </w:rPr>
        <w:t>Keywords—</w:t>
      </w:r>
      <w:r>
        <w:rPr>
          <w:lang w:val="en-IE"/>
        </w:rPr>
        <w:t xml:space="preserve">Continuous Integration (CI), Continuous Delivery (CD), Continuous Deployment (CD), </w:t>
      </w:r>
      <w:proofErr w:type="spellStart"/>
      <w:r>
        <w:rPr>
          <w:lang w:val="en-IE"/>
        </w:rPr>
        <w:t>DevOpsSec</w:t>
      </w:r>
      <w:proofErr w:type="spellEnd"/>
      <w:r>
        <w:rPr>
          <w:lang w:val="en-IE"/>
        </w:rPr>
        <w:t>, Analysis Static and Dynamic</w:t>
      </w:r>
    </w:p>
    <w:p w14:paraId="1DBDC181" w14:textId="709A1C3D" w:rsidR="005E57CE" w:rsidRDefault="00FF19A2" w:rsidP="00D36DB9">
      <w:pPr>
        <w:pStyle w:val="Abstract"/>
        <w:rPr>
          <w:color w:val="70AD47" w:themeColor="accent6"/>
          <w:lang w:val="pt-BR"/>
        </w:rPr>
      </w:pPr>
      <w:r w:rsidRPr="00D36DB9">
        <w:rPr>
          <w:color w:val="EE0000"/>
          <w:lang w:val="pt-BR"/>
        </w:rPr>
        <w:t xml:space="preserve">Este projeto descreve a implementação completa de uma aplicação web dinâmica com foco em um ciclo de vida automatizado. </w:t>
      </w:r>
      <w:r w:rsidRPr="00FF19A2">
        <w:rPr>
          <w:color w:val="EE0000"/>
          <w:lang w:val="pt-BR"/>
        </w:rPr>
        <w:t>O trabalho aborda as metodologias para a construção, implantação, monitoramento</w:t>
      </w:r>
      <w:r w:rsidR="00967DD4">
        <w:rPr>
          <w:color w:val="EE0000"/>
          <w:lang w:val="pt-BR"/>
        </w:rPr>
        <w:t>,</w:t>
      </w:r>
      <w:r w:rsidRPr="00FF19A2">
        <w:rPr>
          <w:color w:val="EE0000"/>
          <w:lang w:val="pt-BR"/>
        </w:rPr>
        <w:t xml:space="preserve"> manutenção contínuas</w:t>
      </w:r>
      <w:r w:rsidR="00967DD4">
        <w:rPr>
          <w:color w:val="EE0000"/>
          <w:lang w:val="pt-BR"/>
        </w:rPr>
        <w:t xml:space="preserve"> e segurança</w:t>
      </w:r>
      <w:r w:rsidRPr="00FF19A2">
        <w:rPr>
          <w:color w:val="EE0000"/>
          <w:lang w:val="pt-BR"/>
        </w:rPr>
        <w:t xml:space="preserve"> da aplicação, cobrindo os conceitos essenciais de </w:t>
      </w:r>
      <w:proofErr w:type="spellStart"/>
      <w:r w:rsidRPr="00FF19A2">
        <w:rPr>
          <w:color w:val="EE0000"/>
          <w:lang w:val="pt-BR"/>
        </w:rPr>
        <w:t>Continuous</w:t>
      </w:r>
      <w:proofErr w:type="spellEnd"/>
      <w:r w:rsidRPr="00FF19A2">
        <w:rPr>
          <w:color w:val="EE0000"/>
          <w:lang w:val="pt-BR"/>
        </w:rPr>
        <w:t xml:space="preserve"> </w:t>
      </w:r>
      <w:proofErr w:type="spellStart"/>
      <w:r w:rsidRPr="00FF19A2">
        <w:rPr>
          <w:color w:val="EE0000"/>
          <w:lang w:val="pt-BR"/>
        </w:rPr>
        <w:t>Integration</w:t>
      </w:r>
      <w:proofErr w:type="spellEnd"/>
      <w:r w:rsidRPr="00FF19A2">
        <w:rPr>
          <w:color w:val="EE0000"/>
          <w:lang w:val="pt-BR"/>
        </w:rPr>
        <w:t xml:space="preserve">, </w:t>
      </w:r>
      <w:proofErr w:type="spellStart"/>
      <w:r w:rsidRPr="00FF19A2">
        <w:rPr>
          <w:color w:val="EE0000"/>
          <w:lang w:val="pt-BR"/>
        </w:rPr>
        <w:t>Continuous</w:t>
      </w:r>
      <w:proofErr w:type="spellEnd"/>
      <w:r w:rsidRPr="00FF19A2">
        <w:rPr>
          <w:color w:val="EE0000"/>
          <w:lang w:val="pt-BR"/>
        </w:rPr>
        <w:t xml:space="preserve"> Delivery e </w:t>
      </w:r>
      <w:proofErr w:type="spellStart"/>
      <w:r w:rsidRPr="00FF19A2">
        <w:rPr>
          <w:color w:val="EE0000"/>
          <w:lang w:val="pt-BR"/>
        </w:rPr>
        <w:t>Continuous</w:t>
      </w:r>
      <w:proofErr w:type="spellEnd"/>
      <w:r w:rsidRPr="00FF19A2">
        <w:rPr>
          <w:color w:val="EE0000"/>
          <w:lang w:val="pt-BR"/>
        </w:rPr>
        <w:t xml:space="preserve"> Deployment (CI/CD/CD). A solução utiliza Spring Boot </w:t>
      </w:r>
      <w:r>
        <w:rPr>
          <w:color w:val="EE0000"/>
          <w:lang w:val="pt-BR"/>
        </w:rPr>
        <w:t xml:space="preserve">– Java e </w:t>
      </w:r>
      <w:r w:rsidRPr="00FF19A2">
        <w:rPr>
          <w:color w:val="EE0000"/>
          <w:lang w:val="pt-BR"/>
        </w:rPr>
        <w:t xml:space="preserve">está hospedada em contêineres no AWS </w:t>
      </w:r>
      <w:proofErr w:type="spellStart"/>
      <w:r w:rsidRPr="00FF19A2">
        <w:rPr>
          <w:color w:val="EE0000"/>
          <w:lang w:val="pt-BR"/>
        </w:rPr>
        <w:t>Elastic</w:t>
      </w:r>
      <w:proofErr w:type="spellEnd"/>
      <w:r w:rsidRPr="00FF19A2">
        <w:rPr>
          <w:color w:val="EE0000"/>
          <w:lang w:val="pt-BR"/>
        </w:rPr>
        <w:t xml:space="preserve"> Container Service (ECS) </w:t>
      </w:r>
      <w:proofErr w:type="spellStart"/>
      <w:r w:rsidRPr="00FF19A2">
        <w:rPr>
          <w:color w:val="EE0000"/>
          <w:lang w:val="pt-BR"/>
        </w:rPr>
        <w:t>Fargate</w:t>
      </w:r>
      <w:proofErr w:type="spellEnd"/>
      <w:r w:rsidRPr="00FF19A2">
        <w:rPr>
          <w:color w:val="EE0000"/>
          <w:lang w:val="pt-BR"/>
        </w:rPr>
        <w:t xml:space="preserve">. A infraestrutura subjacente é integralmente provisionada e gerenciada através de </w:t>
      </w:r>
      <w:proofErr w:type="spellStart"/>
      <w:r w:rsidRPr="00FF19A2">
        <w:rPr>
          <w:color w:val="EE0000"/>
          <w:lang w:val="pt-BR"/>
        </w:rPr>
        <w:t>Infrastructure</w:t>
      </w:r>
      <w:proofErr w:type="spellEnd"/>
      <w:r w:rsidRPr="00FF19A2">
        <w:rPr>
          <w:color w:val="EE0000"/>
          <w:lang w:val="pt-BR"/>
        </w:rPr>
        <w:t>-</w:t>
      </w:r>
      <w:proofErr w:type="spellStart"/>
      <w:r w:rsidRPr="00FF19A2">
        <w:rPr>
          <w:color w:val="EE0000"/>
          <w:lang w:val="pt-BR"/>
        </w:rPr>
        <w:t>as-Code</w:t>
      </w:r>
      <w:proofErr w:type="spellEnd"/>
      <w:r w:rsidRPr="00FF19A2">
        <w:rPr>
          <w:color w:val="EE0000"/>
          <w:lang w:val="pt-BR"/>
        </w:rPr>
        <w:t xml:space="preserve"> (</w:t>
      </w:r>
      <w:proofErr w:type="spellStart"/>
      <w:r w:rsidRPr="00FF19A2">
        <w:rPr>
          <w:color w:val="EE0000"/>
          <w:lang w:val="pt-BR"/>
        </w:rPr>
        <w:t>IaC</w:t>
      </w:r>
      <w:proofErr w:type="spellEnd"/>
      <w:r w:rsidRPr="00FF19A2">
        <w:rPr>
          <w:color w:val="EE0000"/>
          <w:lang w:val="pt-BR"/>
        </w:rPr>
        <w:t xml:space="preserve">), utilizando </w:t>
      </w:r>
      <w:proofErr w:type="spellStart"/>
      <w:r w:rsidRPr="00FF19A2">
        <w:rPr>
          <w:color w:val="EE0000"/>
          <w:lang w:val="pt-BR"/>
        </w:rPr>
        <w:t>Terraform</w:t>
      </w:r>
      <w:proofErr w:type="spellEnd"/>
      <w:r w:rsidRPr="00FF19A2">
        <w:rPr>
          <w:color w:val="EE0000"/>
          <w:lang w:val="pt-BR"/>
        </w:rPr>
        <w:t xml:space="preserve">, e integra métodos de segurança como Análise Estática e Dinâmica de Código (SAST e DAST), garantindo um ciclo completo, robusto e seguro. </w:t>
      </w:r>
    </w:p>
    <w:p w14:paraId="1C4BEEFF" w14:textId="46ECBF40" w:rsidR="00E522A1" w:rsidRPr="00EF50E7" w:rsidRDefault="005E57CE" w:rsidP="00972203">
      <w:pPr>
        <w:pStyle w:val="Abstract"/>
        <w:rPr>
          <w:color w:val="EE0000"/>
          <w:lang w:val="pt-BR"/>
        </w:rPr>
      </w:pPr>
      <w:r w:rsidRPr="00EF50E7">
        <w:rPr>
          <w:color w:val="EE0000"/>
          <w:lang w:val="pt-BR"/>
        </w:rPr>
        <w:t xml:space="preserve">O processo </w:t>
      </w:r>
      <w:r w:rsidR="00A95335" w:rsidRPr="00EF50E7">
        <w:rPr>
          <w:color w:val="EE0000"/>
          <w:lang w:val="pt-BR"/>
        </w:rPr>
        <w:t>contínuo</w:t>
      </w:r>
      <w:r w:rsidRPr="00EF50E7">
        <w:rPr>
          <w:color w:val="EE0000"/>
          <w:lang w:val="pt-BR"/>
        </w:rPr>
        <w:t xml:space="preserve"> é orquestrado e suportado integralmente pelos serviços nativos da AWS, especificamente </w:t>
      </w:r>
      <w:proofErr w:type="spellStart"/>
      <w:r w:rsidRPr="00EF50E7">
        <w:rPr>
          <w:color w:val="EE0000"/>
          <w:lang w:val="pt-BR"/>
        </w:rPr>
        <w:t>CodePipeline</w:t>
      </w:r>
      <w:proofErr w:type="spellEnd"/>
      <w:r w:rsidRPr="00EF50E7">
        <w:rPr>
          <w:color w:val="EE0000"/>
          <w:lang w:val="pt-BR"/>
        </w:rPr>
        <w:t xml:space="preserve"> e </w:t>
      </w:r>
      <w:proofErr w:type="spellStart"/>
      <w:r w:rsidRPr="00EF50E7">
        <w:rPr>
          <w:color w:val="EE0000"/>
          <w:lang w:val="pt-BR"/>
        </w:rPr>
        <w:t>CodeBuild</w:t>
      </w:r>
      <w:proofErr w:type="spellEnd"/>
      <w:r w:rsidRPr="00EF50E7">
        <w:rPr>
          <w:color w:val="EE0000"/>
          <w:lang w:val="pt-BR"/>
        </w:rPr>
        <w:t xml:space="preserve">, automatizando as etapas de construção, teste e entrega de imagem Docker no ECR. Para a validação de segurança e vulnerabilidades, a metodologia incorpora o </w:t>
      </w:r>
      <w:proofErr w:type="spellStart"/>
      <w:r w:rsidRPr="00EF50E7">
        <w:rPr>
          <w:color w:val="EE0000"/>
          <w:lang w:val="pt-BR"/>
        </w:rPr>
        <w:t>SonarQube</w:t>
      </w:r>
      <w:proofErr w:type="spellEnd"/>
      <w:r w:rsidRPr="00EF50E7">
        <w:rPr>
          <w:color w:val="EE0000"/>
          <w:lang w:val="pt-BR"/>
        </w:rPr>
        <w:t xml:space="preserve"> para a Análise Estática de Código (SAST) e o OWASP ZAP para varreduras dinâmicas (DAST). Esta abordagem assegura que as vulnerabilidades sejam identificadas precocemente, </w:t>
      </w:r>
      <w:r w:rsidR="00E522A1" w:rsidRPr="00EF50E7">
        <w:rPr>
          <w:color w:val="EE0000"/>
          <w:lang w:val="pt-BR"/>
        </w:rPr>
        <w:t xml:space="preserve">evitando desvios de qualidade e de segurança da aplicação </w:t>
      </w:r>
      <w:r w:rsidRPr="00EF50E7">
        <w:rPr>
          <w:color w:val="EE0000"/>
          <w:lang w:val="pt-BR"/>
        </w:rPr>
        <w:t xml:space="preserve">antes da </w:t>
      </w:r>
      <w:r w:rsidR="00E522A1" w:rsidRPr="00EF50E7">
        <w:rPr>
          <w:color w:val="EE0000"/>
          <w:lang w:val="pt-BR"/>
        </w:rPr>
        <w:t>em ambientes de produção.</w:t>
      </w:r>
    </w:p>
    <w:p w14:paraId="267708E4" w14:textId="11434292" w:rsidR="004D72B5" w:rsidRPr="002D35BC" w:rsidRDefault="00E522A1" w:rsidP="00972203">
      <w:pPr>
        <w:pStyle w:val="Abstract"/>
        <w:rPr>
          <w:i/>
          <w:iCs/>
          <w:color w:val="EE0000"/>
          <w:lang w:val="pt-BR"/>
        </w:rPr>
      </w:pPr>
      <w:r w:rsidRPr="00EF50E7">
        <w:rPr>
          <w:color w:val="EE0000"/>
          <w:lang w:val="pt-BR"/>
        </w:rPr>
        <w:t>A implementação bem-sucedida deste pipeline valida uma estratégia de implantação robusta, segura e totalmente automatizada, demonstrando um processo de desenvolvimento seguro de aplicativos em um ambiente de nuvem pública.</w:t>
      </w:r>
      <w:r w:rsidR="00FF19A2" w:rsidRPr="00EF50E7">
        <w:rPr>
          <w:color w:val="EE0000"/>
          <w:lang w:val="pt-BR"/>
        </w:rPr>
        <w:t xml:space="preserve"> </w:t>
      </w:r>
    </w:p>
    <w:p w14:paraId="3F9CDE0E" w14:textId="6A52FA32" w:rsidR="009303D9" w:rsidRPr="007A2F90" w:rsidRDefault="004D72B5" w:rsidP="00972203">
      <w:pPr>
        <w:pStyle w:val="Keywords"/>
        <w:rPr>
          <w:lang w:val="en-IE"/>
        </w:rPr>
      </w:pPr>
      <w:r w:rsidRPr="007A2F90">
        <w:rPr>
          <w:lang w:val="en-IE"/>
        </w:rPr>
        <w:t>Keywords—</w:t>
      </w:r>
      <w:r w:rsidR="002D35BC">
        <w:rPr>
          <w:lang w:val="en-IE"/>
        </w:rPr>
        <w:t xml:space="preserve">Continuous Integration (CI), Continuous Delivery (CD), Continuous Deployment (CD), </w:t>
      </w:r>
      <w:proofErr w:type="spellStart"/>
      <w:r w:rsidR="002D35BC">
        <w:rPr>
          <w:lang w:val="en-IE"/>
        </w:rPr>
        <w:t>DevOpsSec</w:t>
      </w:r>
      <w:proofErr w:type="spellEnd"/>
      <w:r w:rsidR="002D35BC">
        <w:rPr>
          <w:lang w:val="en-IE"/>
        </w:rPr>
        <w:t>, Analysis Static and Dynamic</w:t>
      </w:r>
    </w:p>
    <w:p w14:paraId="7FFFA702" w14:textId="2F445AC2" w:rsidR="009303D9" w:rsidRPr="007A2F90" w:rsidRDefault="009303D9" w:rsidP="006B6B66">
      <w:pPr>
        <w:pStyle w:val="Heading1"/>
        <w:rPr>
          <w:lang w:val="en-IE"/>
        </w:rPr>
      </w:pPr>
      <w:r w:rsidRPr="007A2F90">
        <w:rPr>
          <w:lang w:val="en-IE"/>
        </w:rPr>
        <w:t>Introduction</w:t>
      </w:r>
    </w:p>
    <w:p w14:paraId="705C6956" w14:textId="2700436D" w:rsidR="00D64B9C" w:rsidRPr="00D64B9C" w:rsidRDefault="00D64B9C" w:rsidP="00993B3B">
      <w:pPr>
        <w:pStyle w:val="BodyText"/>
        <w:rPr>
          <w:color w:val="000000" w:themeColor="text1"/>
          <w:lang w:val="en-IE"/>
        </w:rPr>
      </w:pPr>
      <w:r w:rsidRPr="00D64B9C">
        <w:rPr>
          <w:color w:val="000000" w:themeColor="text1"/>
          <w:lang w:val="en-IE"/>
        </w:rPr>
        <w:t xml:space="preserve">The software industry is undergoing a process of constant evolution and modernization, facilitating the daily lives of individuals. Cloud computing stands out for promoting mobility and flexibility for users, enabling access to analytical, storage, and processing resources remotely via the internet.  In addition to mobility, cloud-hosted software excels in terms of cost, eliminating the need for investments in local services and infrastructure, including maintenance.  </w:t>
      </w:r>
    </w:p>
    <w:p w14:paraId="244202D4" w14:textId="77777777" w:rsidR="00D64B9C" w:rsidRPr="00D64B9C" w:rsidRDefault="00D64B9C" w:rsidP="00D64B9C">
      <w:pPr>
        <w:pStyle w:val="BodyText"/>
        <w:rPr>
          <w:color w:val="000000" w:themeColor="text1"/>
          <w:lang w:val="en-IE"/>
        </w:rPr>
      </w:pPr>
      <w:r w:rsidRPr="00D64B9C">
        <w:rPr>
          <w:color w:val="000000" w:themeColor="text1"/>
          <w:lang w:val="en-IE"/>
        </w:rPr>
        <w:t xml:space="preserve">However, as systems become more flexible regarding mobility, vulnerabilities emerge, challenging the security and integrity of data. In this context, information security can no longer be treated as an isolated phase in the development cycle. It thus becomes essential to integrate security practices </w:t>
      </w:r>
      <w:r w:rsidRPr="00D64B9C">
        <w:rPr>
          <w:color w:val="000000" w:themeColor="text1"/>
          <w:lang w:val="en-IE"/>
        </w:rPr>
        <w:lastRenderedPageBreak/>
        <w:t xml:space="preserve">continuously, which actively contribute to the protection of the application.  </w:t>
      </w:r>
    </w:p>
    <w:p w14:paraId="137338CA" w14:textId="77777777" w:rsidR="00D64B9C" w:rsidRPr="00D64B9C" w:rsidRDefault="00D64B9C" w:rsidP="00D64B9C">
      <w:pPr>
        <w:pStyle w:val="BodyText"/>
        <w:rPr>
          <w:color w:val="000000" w:themeColor="text1"/>
          <w:lang w:val="en-IE"/>
        </w:rPr>
      </w:pPr>
      <w:r w:rsidRPr="00D64B9C">
        <w:rPr>
          <w:color w:val="000000" w:themeColor="text1"/>
          <w:lang w:val="en-IE"/>
        </w:rPr>
        <w:t xml:space="preserve">This work presents the implementation of an automated pipeline that incorporates security practices into the development cycle, aligned with the principles of </w:t>
      </w:r>
      <w:proofErr w:type="spellStart"/>
      <w:r w:rsidRPr="00D64B9C">
        <w:rPr>
          <w:color w:val="000000" w:themeColor="text1"/>
          <w:lang w:val="en-IE"/>
        </w:rPr>
        <w:t>DevOpsSec</w:t>
      </w:r>
      <w:proofErr w:type="spellEnd"/>
      <w:r w:rsidRPr="00D64B9C">
        <w:rPr>
          <w:color w:val="000000" w:themeColor="text1"/>
          <w:lang w:val="en-IE"/>
        </w:rPr>
        <w:t xml:space="preserve">.  </w:t>
      </w:r>
    </w:p>
    <w:p w14:paraId="46565295" w14:textId="77777777" w:rsidR="00D64B9C" w:rsidRPr="00D64B9C" w:rsidRDefault="00D64B9C" w:rsidP="00D64B9C">
      <w:pPr>
        <w:pStyle w:val="BodyText"/>
        <w:rPr>
          <w:color w:val="000000" w:themeColor="text1"/>
          <w:lang w:val="en-IE"/>
        </w:rPr>
      </w:pPr>
      <w:r w:rsidRPr="00D64B9C">
        <w:rPr>
          <w:color w:val="000000" w:themeColor="text1"/>
          <w:lang w:val="en-IE"/>
        </w:rPr>
        <w:t xml:space="preserve">In order to validate and demonstrate the effectiveness of the methodology discussed herein, the object of study of this work refers to a simple inventory management application, operating functionalities for the creation, reading, updating, and deletion of products persisted in a database. The simplicity of the methods assigned in the project reflects an ideal test case for evaluating the security and automation practices implemented throughout the pipeline.  </w:t>
      </w:r>
    </w:p>
    <w:p w14:paraId="35542A76" w14:textId="77777777" w:rsidR="00D64B9C" w:rsidRDefault="00D64B9C" w:rsidP="00D64B9C">
      <w:pPr>
        <w:pStyle w:val="BodyText"/>
        <w:rPr>
          <w:color w:val="EE0000"/>
          <w:lang w:val="pt-BR"/>
        </w:rPr>
      </w:pPr>
      <w:r w:rsidRPr="00D64B9C">
        <w:rPr>
          <w:color w:val="000000" w:themeColor="text1"/>
          <w:lang w:val="en-IE"/>
        </w:rPr>
        <w:t xml:space="preserve">To present this proposal clearly, the structure of this project details the implementation of the pipeline, addressing the services utilized in Sec. II. A critical analysis of the adopted security practices, including the integration of static and dynamic code analysis tools and the adjustments made within the model, is presented in Sec. III. In Sec. IV, the conclusions drawn based on the approach utilized are discussed. </w:t>
      </w:r>
      <w:proofErr w:type="spellStart"/>
      <w:r w:rsidRPr="00D64B9C">
        <w:rPr>
          <w:color w:val="000000" w:themeColor="text1"/>
          <w:lang w:val="pt-BR"/>
        </w:rPr>
        <w:t>Finally</w:t>
      </w:r>
      <w:proofErr w:type="spellEnd"/>
      <w:r w:rsidRPr="00D64B9C">
        <w:rPr>
          <w:color w:val="000000" w:themeColor="text1"/>
          <w:lang w:val="pt-BR"/>
        </w:rPr>
        <w:t xml:space="preserve">, </w:t>
      </w:r>
      <w:proofErr w:type="spellStart"/>
      <w:r w:rsidRPr="00D64B9C">
        <w:rPr>
          <w:color w:val="000000" w:themeColor="text1"/>
          <w:lang w:val="pt-BR"/>
        </w:rPr>
        <w:t>the</w:t>
      </w:r>
      <w:proofErr w:type="spellEnd"/>
      <w:r w:rsidRPr="00D64B9C">
        <w:rPr>
          <w:color w:val="000000" w:themeColor="text1"/>
          <w:lang w:val="pt-BR"/>
        </w:rPr>
        <w:t xml:space="preserve"> </w:t>
      </w:r>
      <w:proofErr w:type="spellStart"/>
      <w:r w:rsidRPr="00D64B9C">
        <w:rPr>
          <w:color w:val="000000" w:themeColor="text1"/>
          <w:lang w:val="pt-BR"/>
        </w:rPr>
        <w:t>references</w:t>
      </w:r>
      <w:proofErr w:type="spellEnd"/>
      <w:r w:rsidRPr="00D64B9C">
        <w:rPr>
          <w:color w:val="000000" w:themeColor="text1"/>
          <w:lang w:val="pt-BR"/>
        </w:rPr>
        <w:t xml:space="preserve"> </w:t>
      </w:r>
      <w:proofErr w:type="spellStart"/>
      <w:r w:rsidRPr="00D64B9C">
        <w:rPr>
          <w:color w:val="000000" w:themeColor="text1"/>
          <w:lang w:val="pt-BR"/>
        </w:rPr>
        <w:t>used</w:t>
      </w:r>
      <w:proofErr w:type="spellEnd"/>
      <w:r w:rsidRPr="00D64B9C">
        <w:rPr>
          <w:color w:val="000000" w:themeColor="text1"/>
          <w:lang w:val="pt-BR"/>
        </w:rPr>
        <w:t xml:space="preserve"> are </w:t>
      </w:r>
      <w:proofErr w:type="spellStart"/>
      <w:r w:rsidRPr="00D64B9C">
        <w:rPr>
          <w:color w:val="000000" w:themeColor="text1"/>
          <w:lang w:val="pt-BR"/>
        </w:rPr>
        <w:t>presented</w:t>
      </w:r>
      <w:proofErr w:type="spellEnd"/>
      <w:r w:rsidRPr="00D64B9C">
        <w:rPr>
          <w:color w:val="000000" w:themeColor="text1"/>
          <w:lang w:val="pt-BR"/>
        </w:rPr>
        <w:t xml:space="preserve"> in Sec. V.</w:t>
      </w:r>
    </w:p>
    <w:p w14:paraId="7A0BE6CE" w14:textId="5C57F4B8" w:rsidR="008A0E26" w:rsidRDefault="00CF3D0A" w:rsidP="00D64B9C">
      <w:pPr>
        <w:pStyle w:val="BodyText"/>
        <w:rPr>
          <w:color w:val="EE0000"/>
          <w:lang w:val="pt-BR"/>
        </w:rPr>
      </w:pPr>
      <w:r w:rsidRPr="008A0E26">
        <w:rPr>
          <w:color w:val="EE0000"/>
          <w:lang w:val="pt-BR"/>
        </w:rPr>
        <w:t xml:space="preserve">A indústria de softwares </w:t>
      </w:r>
      <w:r w:rsidR="008A0E26" w:rsidRPr="008A0E26">
        <w:rPr>
          <w:color w:val="EE0000"/>
          <w:lang w:val="pt-BR"/>
        </w:rPr>
        <w:t>está</w:t>
      </w:r>
      <w:r w:rsidRPr="008A0E26">
        <w:rPr>
          <w:color w:val="EE0000"/>
          <w:lang w:val="pt-BR"/>
        </w:rPr>
        <w:t xml:space="preserve"> em um processo de constante evolução e modernização</w:t>
      </w:r>
      <w:r w:rsidR="008A0E26" w:rsidRPr="008A0E26">
        <w:rPr>
          <w:color w:val="EE0000"/>
          <w:lang w:val="pt-BR"/>
        </w:rPr>
        <w:t>,</w:t>
      </w:r>
      <w:r w:rsidRPr="008A0E26">
        <w:rPr>
          <w:color w:val="EE0000"/>
          <w:lang w:val="pt-BR"/>
        </w:rPr>
        <w:t xml:space="preserve"> </w:t>
      </w:r>
      <w:r w:rsidR="008A0E26" w:rsidRPr="008A0E26">
        <w:rPr>
          <w:color w:val="EE0000"/>
          <w:lang w:val="pt-BR"/>
        </w:rPr>
        <w:t>promovendo facilidades ao cotidiano das pessoas. A computação em nuvem</w:t>
      </w:r>
      <w:r w:rsidR="001B6682">
        <w:rPr>
          <w:color w:val="EE0000"/>
          <w:lang w:val="pt-BR"/>
        </w:rPr>
        <w:t xml:space="preserve"> se destaca por promover mobilidade </w:t>
      </w:r>
      <w:r w:rsidR="000201A9">
        <w:rPr>
          <w:color w:val="EE0000"/>
          <w:lang w:val="pt-BR"/>
        </w:rPr>
        <w:t xml:space="preserve">e flexibilidade </w:t>
      </w:r>
      <w:r w:rsidR="001B6682">
        <w:rPr>
          <w:color w:val="EE0000"/>
          <w:lang w:val="pt-BR"/>
        </w:rPr>
        <w:t xml:space="preserve">aos usuários, possibilitando o </w:t>
      </w:r>
      <w:r w:rsidR="008A0E26">
        <w:rPr>
          <w:color w:val="EE0000"/>
          <w:lang w:val="pt-BR"/>
        </w:rPr>
        <w:t xml:space="preserve">acesso a recursos de análises, armazenamentos e processamentos remotamente por meio da internet. </w:t>
      </w:r>
    </w:p>
    <w:p w14:paraId="052FAD30" w14:textId="3B4C51C7" w:rsidR="008A0E26" w:rsidRDefault="008A0E26" w:rsidP="00E7596C">
      <w:pPr>
        <w:pStyle w:val="BodyText"/>
        <w:rPr>
          <w:color w:val="EE0000"/>
          <w:lang w:val="pt-BR"/>
        </w:rPr>
      </w:pPr>
      <w:r>
        <w:rPr>
          <w:color w:val="EE0000"/>
          <w:lang w:val="pt-BR"/>
        </w:rPr>
        <w:t xml:space="preserve">Além </w:t>
      </w:r>
      <w:r w:rsidR="001B6682">
        <w:rPr>
          <w:color w:val="EE0000"/>
          <w:lang w:val="pt-BR"/>
        </w:rPr>
        <w:t>da mobilidade</w:t>
      </w:r>
      <w:r>
        <w:rPr>
          <w:color w:val="EE0000"/>
          <w:lang w:val="pt-BR"/>
        </w:rPr>
        <w:t>,</w:t>
      </w:r>
      <w:r w:rsidR="001B6682">
        <w:rPr>
          <w:color w:val="EE0000"/>
          <w:lang w:val="pt-BR"/>
        </w:rPr>
        <w:t xml:space="preserve"> os softwares hospedados na nuvem se destacam no quesito de custos</w:t>
      </w:r>
      <w:r w:rsidR="00442510">
        <w:rPr>
          <w:color w:val="EE0000"/>
          <w:lang w:val="pt-BR"/>
        </w:rPr>
        <w:t>,</w:t>
      </w:r>
      <w:r w:rsidR="001B6682">
        <w:rPr>
          <w:color w:val="EE0000"/>
          <w:lang w:val="pt-BR"/>
        </w:rPr>
        <w:t xml:space="preserve"> </w:t>
      </w:r>
      <w:r>
        <w:rPr>
          <w:color w:val="EE0000"/>
          <w:lang w:val="pt-BR"/>
        </w:rPr>
        <w:t>eliminando a necessidade de investimentos em serviços e infraestrutura local</w:t>
      </w:r>
      <w:r w:rsidR="001B6682">
        <w:rPr>
          <w:color w:val="EE0000"/>
          <w:lang w:val="pt-BR"/>
        </w:rPr>
        <w:t>, incluído manutenção</w:t>
      </w:r>
      <w:r>
        <w:rPr>
          <w:color w:val="EE0000"/>
          <w:lang w:val="pt-BR"/>
        </w:rPr>
        <w:t>.</w:t>
      </w:r>
      <w:r w:rsidRPr="008A0E26">
        <w:rPr>
          <w:color w:val="EE0000"/>
          <w:lang w:val="pt-BR"/>
        </w:rPr>
        <w:t xml:space="preserve"> </w:t>
      </w:r>
      <w:r w:rsidR="00CF3D0A" w:rsidRPr="008A0E26">
        <w:rPr>
          <w:color w:val="EE0000"/>
          <w:lang w:val="pt-BR"/>
        </w:rPr>
        <w:t xml:space="preserve"> </w:t>
      </w:r>
    </w:p>
    <w:p w14:paraId="2E525C9A" w14:textId="2F1A7224" w:rsidR="00BE09F6" w:rsidRDefault="000201A9" w:rsidP="00E7596C">
      <w:pPr>
        <w:pStyle w:val="BodyText"/>
        <w:rPr>
          <w:color w:val="EE0000"/>
          <w:lang w:val="pt-BR"/>
        </w:rPr>
      </w:pPr>
      <w:r>
        <w:rPr>
          <w:color w:val="EE0000"/>
          <w:lang w:val="pt-BR"/>
        </w:rPr>
        <w:t xml:space="preserve">No entanto à medida que os sistemas se tornam mais flexíveis em relação a mobilidade, vulnerabilidades </w:t>
      </w:r>
      <w:r w:rsidR="004874E2">
        <w:rPr>
          <w:color w:val="EE0000"/>
          <w:lang w:val="pt-BR"/>
        </w:rPr>
        <w:t xml:space="preserve">emergem desafiando a segurança e integridade dos dados. Diante disso, a segurança da informação já não pode mais ser tratada como uma etapa isolada no ciclo de desenvolvimento. Assim torna-se essencial </w:t>
      </w:r>
      <w:r w:rsidR="00967DD4">
        <w:rPr>
          <w:color w:val="EE0000"/>
          <w:lang w:val="pt-BR"/>
        </w:rPr>
        <w:t>integrar práticas de segurança</w:t>
      </w:r>
      <w:r w:rsidR="004874E2">
        <w:rPr>
          <w:color w:val="EE0000"/>
          <w:lang w:val="pt-BR"/>
        </w:rPr>
        <w:t xml:space="preserve"> de forma contínua </w:t>
      </w:r>
      <w:r w:rsidR="00967DD4">
        <w:rPr>
          <w:color w:val="EE0000"/>
          <w:lang w:val="pt-BR"/>
        </w:rPr>
        <w:t>que</w:t>
      </w:r>
      <w:r w:rsidR="004874E2">
        <w:rPr>
          <w:color w:val="EE0000"/>
          <w:lang w:val="pt-BR"/>
        </w:rPr>
        <w:t xml:space="preserve"> contribua ativamente para a proteção da aplicação. </w:t>
      </w:r>
    </w:p>
    <w:p w14:paraId="286F9B4A" w14:textId="77777777" w:rsidR="000E1A71" w:rsidRDefault="00967DD4" w:rsidP="00E7596C">
      <w:pPr>
        <w:pStyle w:val="BodyText"/>
        <w:rPr>
          <w:color w:val="EE0000"/>
          <w:lang w:val="pt-BR"/>
        </w:rPr>
      </w:pPr>
      <w:r>
        <w:rPr>
          <w:color w:val="EE0000"/>
          <w:lang w:val="pt-BR"/>
        </w:rPr>
        <w:t xml:space="preserve">Este trabalho apresenta </w:t>
      </w:r>
      <w:r w:rsidR="003A1E75">
        <w:rPr>
          <w:color w:val="EE0000"/>
          <w:lang w:val="pt-BR"/>
        </w:rPr>
        <w:t xml:space="preserve">a implementação de um pipeline automatizado que incorpora práticas de segurança no ciclo de desenvolvimento alinhado com os </w:t>
      </w:r>
      <w:r w:rsidR="00025477">
        <w:rPr>
          <w:color w:val="EE0000"/>
          <w:lang w:val="pt-BR"/>
        </w:rPr>
        <w:t>princípios</w:t>
      </w:r>
      <w:r w:rsidR="003A1E75">
        <w:rPr>
          <w:color w:val="EE0000"/>
          <w:lang w:val="pt-BR"/>
        </w:rPr>
        <w:t xml:space="preserve"> de </w:t>
      </w:r>
      <w:proofErr w:type="spellStart"/>
      <w:r w:rsidR="003A1E75">
        <w:rPr>
          <w:color w:val="EE0000"/>
          <w:lang w:val="pt-BR"/>
        </w:rPr>
        <w:t>DevOpsSec</w:t>
      </w:r>
      <w:proofErr w:type="spellEnd"/>
      <w:r w:rsidR="003A1E75">
        <w:rPr>
          <w:color w:val="EE0000"/>
          <w:lang w:val="pt-BR"/>
        </w:rPr>
        <w:t>.</w:t>
      </w:r>
    </w:p>
    <w:p w14:paraId="636AD40F" w14:textId="3D4EF356" w:rsidR="000E1A71" w:rsidRDefault="000E1A71" w:rsidP="000E1A71">
      <w:pPr>
        <w:pStyle w:val="BodyText"/>
        <w:rPr>
          <w:color w:val="EE0000"/>
          <w:lang w:val="pt-BR"/>
        </w:rPr>
      </w:pPr>
      <w:r>
        <w:rPr>
          <w:color w:val="EE0000"/>
          <w:lang w:val="pt-BR"/>
        </w:rPr>
        <w:t xml:space="preserve">Com o intuito de validar e demonstrar a eficácia da metodologia aqui abordada, o objeto de estudo deste trabalho refere-se </w:t>
      </w:r>
      <w:r w:rsidR="00657D88">
        <w:rPr>
          <w:color w:val="EE0000"/>
          <w:lang w:val="pt-BR"/>
        </w:rPr>
        <w:t>uma aplicação simples</w:t>
      </w:r>
      <w:r>
        <w:rPr>
          <w:color w:val="EE0000"/>
          <w:lang w:val="pt-BR"/>
        </w:rPr>
        <w:t xml:space="preserve"> de gerenciamento de inventario, operando funcionalidades de criação, leitura, atualização e </w:t>
      </w:r>
      <w:r w:rsidR="00657D88">
        <w:rPr>
          <w:color w:val="EE0000"/>
          <w:lang w:val="pt-BR"/>
        </w:rPr>
        <w:t>exclusão</w:t>
      </w:r>
      <w:r>
        <w:rPr>
          <w:color w:val="EE0000"/>
          <w:lang w:val="pt-BR"/>
        </w:rPr>
        <w:t xml:space="preserve"> de produtos persistido em um banco de dados. </w:t>
      </w:r>
      <w:r w:rsidR="00657D88">
        <w:rPr>
          <w:color w:val="EE0000"/>
          <w:lang w:val="pt-BR"/>
        </w:rPr>
        <w:t>A simplicidade dos métodos atribuídos no projeto reflete</w:t>
      </w:r>
      <w:r>
        <w:rPr>
          <w:color w:val="EE0000"/>
          <w:lang w:val="pt-BR"/>
        </w:rPr>
        <w:t xml:space="preserve"> um caso de teste ideal para avaliar as </w:t>
      </w:r>
      <w:r w:rsidR="003253F6">
        <w:rPr>
          <w:color w:val="EE0000"/>
          <w:lang w:val="pt-BR"/>
        </w:rPr>
        <w:t>práticas</w:t>
      </w:r>
      <w:r>
        <w:rPr>
          <w:color w:val="EE0000"/>
          <w:lang w:val="pt-BR"/>
        </w:rPr>
        <w:t xml:space="preserve"> de segurança e automação implementadas ao longo do pipeline. </w:t>
      </w:r>
    </w:p>
    <w:p w14:paraId="008D53D1" w14:textId="76C5A1D6" w:rsidR="003A1E75" w:rsidRDefault="003A1E75" w:rsidP="00E7596C">
      <w:pPr>
        <w:pStyle w:val="BodyText"/>
        <w:rPr>
          <w:color w:val="EE0000"/>
          <w:lang w:val="pt-BR"/>
        </w:rPr>
      </w:pPr>
      <w:r>
        <w:rPr>
          <w:color w:val="EE0000"/>
          <w:lang w:val="pt-BR"/>
        </w:rPr>
        <w:t xml:space="preserve">Para apresentar </w:t>
      </w:r>
      <w:r w:rsidR="00025477">
        <w:rPr>
          <w:color w:val="EE0000"/>
          <w:lang w:val="pt-BR"/>
        </w:rPr>
        <w:t xml:space="preserve">esta proposta de forma clara, a estrutura deste projeto detalha a implementação do pipeline abordando os serviços utilizados na Sec. II. Uma </w:t>
      </w:r>
      <w:r w:rsidR="00657D88">
        <w:rPr>
          <w:color w:val="EE0000"/>
          <w:lang w:val="pt-BR"/>
        </w:rPr>
        <w:t>análise</w:t>
      </w:r>
      <w:r w:rsidR="00025477">
        <w:rPr>
          <w:color w:val="EE0000"/>
          <w:lang w:val="pt-BR"/>
        </w:rPr>
        <w:t xml:space="preserve"> </w:t>
      </w:r>
      <w:r w:rsidR="003253F6">
        <w:rPr>
          <w:color w:val="EE0000"/>
          <w:lang w:val="pt-BR"/>
        </w:rPr>
        <w:t>crítica</w:t>
      </w:r>
      <w:r w:rsidR="00025477">
        <w:rPr>
          <w:color w:val="EE0000"/>
          <w:lang w:val="pt-BR"/>
        </w:rPr>
        <w:t xml:space="preserve"> das </w:t>
      </w:r>
      <w:r w:rsidR="008B6CCD">
        <w:rPr>
          <w:color w:val="EE0000"/>
          <w:lang w:val="pt-BR"/>
        </w:rPr>
        <w:t>práticas</w:t>
      </w:r>
      <w:r w:rsidR="00025477">
        <w:rPr>
          <w:color w:val="EE0000"/>
          <w:lang w:val="pt-BR"/>
        </w:rPr>
        <w:t xml:space="preserve"> de segurança adotada, incluindo a </w:t>
      </w:r>
      <w:r w:rsidR="00025477" w:rsidRPr="00025477">
        <w:rPr>
          <w:color w:val="EE0000"/>
          <w:lang w:val="pt-BR"/>
        </w:rPr>
        <w:t>integração de ferramentas de análise estática e dinâmica de código</w:t>
      </w:r>
      <w:r w:rsidR="00025477">
        <w:rPr>
          <w:color w:val="EE0000"/>
          <w:lang w:val="pt-BR"/>
        </w:rPr>
        <w:t xml:space="preserve"> e os ajustes realizados dentro do modelo são apresentados a Sec. III. Na Sec. IV a </w:t>
      </w:r>
      <w:r w:rsidR="00025477">
        <w:rPr>
          <w:color w:val="EE0000"/>
          <w:lang w:val="pt-BR"/>
        </w:rPr>
        <w:t>conclusão obtida diante com base na abordagem utilizada. E por fim as referencias utilizadas são apresentadas na Sec.</w:t>
      </w:r>
      <w:r w:rsidR="00FD0B1B">
        <w:rPr>
          <w:color w:val="EE0000"/>
          <w:lang w:val="pt-BR"/>
        </w:rPr>
        <w:t xml:space="preserve"> </w:t>
      </w:r>
      <w:r w:rsidR="00025477">
        <w:rPr>
          <w:color w:val="EE0000"/>
          <w:lang w:val="pt-BR"/>
        </w:rPr>
        <w:t>V.</w:t>
      </w:r>
    </w:p>
    <w:p w14:paraId="3CC5B30D" w14:textId="77777777" w:rsidR="008A0E26" w:rsidRPr="00BE09F6" w:rsidRDefault="008A0E26" w:rsidP="00E7596C">
      <w:pPr>
        <w:pStyle w:val="BodyText"/>
        <w:rPr>
          <w:color w:val="EE0000"/>
          <w:lang w:val="pt-BR"/>
        </w:rPr>
      </w:pPr>
    </w:p>
    <w:p w14:paraId="3EF35B8D" w14:textId="0FEF6F8C" w:rsidR="009303D9" w:rsidRPr="007A2F90" w:rsidRDefault="00255F7A" w:rsidP="006B6B66">
      <w:pPr>
        <w:pStyle w:val="Heading1"/>
        <w:rPr>
          <w:lang w:val="en-IE"/>
        </w:rPr>
      </w:pPr>
      <w:r w:rsidRPr="00255F7A">
        <w:rPr>
          <w:lang w:val="en-IE"/>
        </w:rPr>
        <w:t>Automation of Infrastructure Deployment and Provisioning</w:t>
      </w:r>
    </w:p>
    <w:p w14:paraId="7D528056" w14:textId="77777777" w:rsidR="009303D9" w:rsidRPr="007A2F90" w:rsidRDefault="009303D9" w:rsidP="00E7596C">
      <w:pPr>
        <w:pStyle w:val="BodyText"/>
        <w:rPr>
          <w:lang w:val="en-IE"/>
        </w:rPr>
      </w:pPr>
      <w:r w:rsidRPr="007A2F90">
        <w:rPr>
          <w:lang w:val="en-IE"/>
        </w:rPr>
        <w:t>First, confirm that you have the correct template for your paper size. This template has been tailored for output on the US-letter paper size. If you are using A4-sized paper, please close this</w:t>
      </w:r>
      <w:r w:rsidR="00ED0149" w:rsidRPr="007A2F90">
        <w:rPr>
          <w:lang w:val="en-IE"/>
        </w:rPr>
        <w:t xml:space="preserve"> file and download the file </w:t>
      </w:r>
      <w:r w:rsidRPr="007A2F90">
        <w:rPr>
          <w:lang w:val="en-IE"/>
        </w:rPr>
        <w:t>“</w:t>
      </w:r>
      <w:r w:rsidR="00B11A60" w:rsidRPr="007A2F90">
        <w:rPr>
          <w:lang w:val="en-IE"/>
        </w:rPr>
        <w:t>MSW_A4_format</w:t>
      </w:r>
      <w:r w:rsidRPr="007A2F90">
        <w:rPr>
          <w:lang w:val="en-IE"/>
        </w:rPr>
        <w:t>”.</w:t>
      </w:r>
    </w:p>
    <w:p w14:paraId="6112573B" w14:textId="77777777" w:rsidR="006347CF" w:rsidRPr="007A2F90" w:rsidRDefault="006347CF" w:rsidP="00E7596C">
      <w:pPr>
        <w:pStyle w:val="BodyText"/>
        <w:rPr>
          <w:lang w:val="en-IE"/>
        </w:rPr>
      </w:pPr>
    </w:p>
    <w:p w14:paraId="17A9532B" w14:textId="77777777" w:rsidR="009303D9" w:rsidRPr="007A2F90" w:rsidRDefault="009303D9" w:rsidP="00ED0149">
      <w:pPr>
        <w:pStyle w:val="Heading2"/>
        <w:rPr>
          <w:lang w:val="en-IE"/>
        </w:rPr>
      </w:pPr>
      <w:r w:rsidRPr="007A2F90">
        <w:rPr>
          <w:lang w:val="en-IE"/>
        </w:rPr>
        <w:t>Maintaining the Integrity of the Specifications</w:t>
      </w:r>
    </w:p>
    <w:p w14:paraId="55E85F34" w14:textId="77777777" w:rsidR="005B520E" w:rsidRPr="007A2F90" w:rsidRDefault="005B520E" w:rsidP="008C4B23">
      <w:pPr>
        <w:pStyle w:val="sponsors"/>
        <w:framePr w:wrap="auto" w:vAnchor="page" w:hAnchor="page" w:x="43.40pt" w:y="720.05pt"/>
        <w:ind w:firstLine="14.45pt"/>
        <w:rPr>
          <w:lang w:val="en-IE"/>
        </w:rPr>
      </w:pPr>
      <w:r w:rsidRPr="007A2F90">
        <w:rPr>
          <w:lang w:val="en-IE"/>
        </w:rPr>
        <w:t xml:space="preserve">Identify applicable </w:t>
      </w:r>
      <w:r w:rsidR="00D72D06" w:rsidRPr="007A2F90">
        <w:rPr>
          <w:lang w:val="en-IE"/>
        </w:rPr>
        <w:t>funding agency</w:t>
      </w:r>
      <w:r w:rsidRPr="007A2F90">
        <w:rPr>
          <w:lang w:val="en-IE"/>
        </w:rPr>
        <w:t xml:space="preserve"> here. </w:t>
      </w:r>
      <w:r w:rsidR="00D72D06" w:rsidRPr="007A2F90">
        <w:rPr>
          <w:iCs/>
          <w:lang w:val="en-IE"/>
        </w:rPr>
        <w:t>If none, delete this text box</w:t>
      </w:r>
      <w:r w:rsidR="007C0308" w:rsidRPr="007A2F90">
        <w:rPr>
          <w:iCs/>
          <w:lang w:val="en-IE"/>
        </w:rPr>
        <w:t>.</w:t>
      </w:r>
    </w:p>
    <w:p w14:paraId="4E992BC6" w14:textId="77777777" w:rsidR="009303D9" w:rsidRPr="007A2F90" w:rsidRDefault="009303D9" w:rsidP="00E7596C">
      <w:pPr>
        <w:pStyle w:val="BodyText"/>
        <w:rPr>
          <w:lang w:val="en-IE"/>
        </w:rPr>
      </w:pPr>
      <w:r w:rsidRPr="007A2F90">
        <w:rPr>
          <w:lang w:val="en-IE"/>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65313B9F" w14:textId="77777777" w:rsidR="009303D9" w:rsidRPr="007A2F90" w:rsidRDefault="009303D9" w:rsidP="006B6B66">
      <w:pPr>
        <w:pStyle w:val="Heading1"/>
        <w:rPr>
          <w:lang w:val="en-IE"/>
        </w:rPr>
      </w:pPr>
      <w:r w:rsidRPr="007A2F90">
        <w:rPr>
          <w:lang w:val="en-IE"/>
        </w:rPr>
        <w:t>Prepare Your Paper Before Styling</w:t>
      </w:r>
    </w:p>
    <w:p w14:paraId="2CC923CC" w14:textId="77777777" w:rsidR="00D7522C" w:rsidRPr="007A2F90" w:rsidRDefault="009303D9" w:rsidP="00E7596C">
      <w:pPr>
        <w:pStyle w:val="BodyText"/>
        <w:rPr>
          <w:lang w:val="en-IE"/>
        </w:rPr>
      </w:pPr>
      <w:r w:rsidRPr="007A2F90">
        <w:rPr>
          <w:lang w:val="en-IE"/>
        </w:rPr>
        <w:t xml:space="preserve">Before you begin to format your paper, first write and save the content as a separate text file. </w:t>
      </w:r>
      <w:r w:rsidR="00D7522C" w:rsidRPr="007A2F90">
        <w:rPr>
          <w:lang w:val="en-IE"/>
        </w:rPr>
        <w:t>Complete all content and organizational editing before formatting. Please note sections A-D below for more information on proofreading, spelling and grammar.</w:t>
      </w:r>
    </w:p>
    <w:p w14:paraId="3B6F0534" w14:textId="77777777" w:rsidR="009303D9" w:rsidRPr="007A2F90" w:rsidRDefault="009303D9" w:rsidP="00E7596C">
      <w:pPr>
        <w:pStyle w:val="BodyText"/>
        <w:rPr>
          <w:lang w:val="en-IE"/>
        </w:rPr>
      </w:pPr>
      <w:r w:rsidRPr="007A2F90">
        <w:rPr>
          <w:lang w:val="en-IE"/>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D27694B" w14:textId="77777777" w:rsidR="009303D9" w:rsidRPr="007A2F90" w:rsidRDefault="009303D9" w:rsidP="00ED0149">
      <w:pPr>
        <w:pStyle w:val="Heading2"/>
        <w:rPr>
          <w:lang w:val="en-IE"/>
        </w:rPr>
      </w:pPr>
      <w:r w:rsidRPr="007A2F90">
        <w:rPr>
          <w:lang w:val="en-IE"/>
        </w:rPr>
        <w:t>Abbreviations and Acronyms</w:t>
      </w:r>
    </w:p>
    <w:p w14:paraId="5BFF2E12" w14:textId="77777777" w:rsidR="009303D9" w:rsidRPr="007A2F90" w:rsidRDefault="009303D9" w:rsidP="00E7596C">
      <w:pPr>
        <w:pStyle w:val="BodyText"/>
        <w:rPr>
          <w:lang w:val="en-IE"/>
        </w:rPr>
      </w:pPr>
      <w:r w:rsidRPr="007A2F90">
        <w:rPr>
          <w:lang w:val="en-IE"/>
        </w:rPr>
        <w:t xml:space="preserve">Define abbreviations and acronyms the first time they are used in the text, even after they have been defined in the abstract. Abbreviations such as IEEE, SI, MKS, CGS, </w:t>
      </w:r>
      <w:proofErr w:type="spellStart"/>
      <w:r w:rsidRPr="007A2F90">
        <w:rPr>
          <w:lang w:val="en-IE"/>
        </w:rPr>
        <w:t>sc</w:t>
      </w:r>
      <w:proofErr w:type="spellEnd"/>
      <w:r w:rsidRPr="007A2F90">
        <w:rPr>
          <w:lang w:val="en-IE"/>
        </w:rPr>
        <w:t>, dc, and rms do not have to be defined. Do not use abbreviations in the title or heads unless they are unavoidable.</w:t>
      </w:r>
    </w:p>
    <w:p w14:paraId="679761D9" w14:textId="77777777" w:rsidR="009303D9" w:rsidRPr="007A2F90" w:rsidRDefault="009303D9" w:rsidP="00ED0149">
      <w:pPr>
        <w:pStyle w:val="Heading2"/>
        <w:rPr>
          <w:lang w:val="en-IE"/>
        </w:rPr>
      </w:pPr>
      <w:r w:rsidRPr="007A2F90">
        <w:rPr>
          <w:lang w:val="en-IE"/>
        </w:rPr>
        <w:t>Units</w:t>
      </w:r>
    </w:p>
    <w:p w14:paraId="35919E98" w14:textId="77777777" w:rsidR="009303D9" w:rsidRPr="007A2F90" w:rsidRDefault="009303D9" w:rsidP="00E7596C">
      <w:pPr>
        <w:pStyle w:val="bulletlist"/>
        <w:rPr>
          <w:lang w:val="en-IE"/>
        </w:rPr>
      </w:pPr>
      <w:r w:rsidRPr="007A2F90">
        <w:rPr>
          <w:lang w:val="en-IE"/>
        </w:rPr>
        <w:t>Use either SI (MKS) or CGS as primary units. (SI units are encouraged.) English units may be used as secondary units (in parentheses). An exception would be the use of English units as identifiers in trade, such as “3.5-inch disk drive”.</w:t>
      </w:r>
    </w:p>
    <w:p w14:paraId="2E7E021D" w14:textId="77777777" w:rsidR="009303D9" w:rsidRPr="007A2F90" w:rsidRDefault="009303D9" w:rsidP="00E7596C">
      <w:pPr>
        <w:pStyle w:val="bulletlist"/>
        <w:rPr>
          <w:lang w:val="en-IE"/>
        </w:rPr>
      </w:pPr>
      <w:r w:rsidRPr="007A2F90">
        <w:rPr>
          <w:lang w:val="en-IE"/>
        </w:rPr>
        <w:t xml:space="preserve">Avoid combining SI and CGS units, such as current in amperes and magnetic field in </w:t>
      </w:r>
      <w:proofErr w:type="spellStart"/>
      <w:r w:rsidRPr="007A2F90">
        <w:rPr>
          <w:lang w:val="en-IE"/>
        </w:rPr>
        <w:t>oersteds</w:t>
      </w:r>
      <w:proofErr w:type="spellEnd"/>
      <w:r w:rsidRPr="007A2F90">
        <w:rPr>
          <w:lang w:val="en-IE"/>
        </w:rPr>
        <w:t>. This often leads to confusion because equations do not balance dimensionally. If you must use mixed units, clearly state the units for each quantity that you use in an equation.</w:t>
      </w:r>
    </w:p>
    <w:p w14:paraId="3323E4A8" w14:textId="77777777" w:rsidR="009303D9" w:rsidRPr="007A2F90" w:rsidRDefault="009303D9" w:rsidP="00E7596C">
      <w:pPr>
        <w:pStyle w:val="bulletlist"/>
        <w:rPr>
          <w:lang w:val="en-IE"/>
        </w:rPr>
      </w:pPr>
      <w:r w:rsidRPr="007A2F90">
        <w:rPr>
          <w:lang w:val="en-IE"/>
        </w:rPr>
        <w:t>Do not mix complete spellings and abbreviations of units: “Wb/m2” or “</w:t>
      </w:r>
      <w:proofErr w:type="spellStart"/>
      <w:r w:rsidRPr="007A2F90">
        <w:rPr>
          <w:lang w:val="en-IE"/>
        </w:rPr>
        <w:t>webers</w:t>
      </w:r>
      <w:proofErr w:type="spellEnd"/>
      <w:r w:rsidRPr="007A2F90">
        <w:rPr>
          <w:lang w:val="en-IE"/>
        </w:rPr>
        <w:t xml:space="preserve"> per square meter”, not “</w:t>
      </w:r>
      <w:proofErr w:type="spellStart"/>
      <w:r w:rsidRPr="007A2F90">
        <w:rPr>
          <w:lang w:val="en-IE"/>
        </w:rPr>
        <w:t>webers</w:t>
      </w:r>
      <w:proofErr w:type="spellEnd"/>
      <w:r w:rsidRPr="007A2F90">
        <w:rPr>
          <w:lang w:val="en-IE"/>
        </w:rPr>
        <w:t xml:space="preserve">/m2”.  Spell out units when they appear in text: “. . . a few </w:t>
      </w:r>
      <w:proofErr w:type="spellStart"/>
      <w:r w:rsidRPr="007A2F90">
        <w:rPr>
          <w:lang w:val="en-IE"/>
        </w:rPr>
        <w:t>henries</w:t>
      </w:r>
      <w:proofErr w:type="spellEnd"/>
      <w:r w:rsidRPr="007A2F90">
        <w:rPr>
          <w:lang w:val="en-IE"/>
        </w:rPr>
        <w:t>”, not “. . . a few H”.</w:t>
      </w:r>
    </w:p>
    <w:p w14:paraId="0307DDDF" w14:textId="77777777" w:rsidR="009303D9" w:rsidRPr="007A2F90" w:rsidRDefault="009303D9" w:rsidP="00E7596C">
      <w:pPr>
        <w:pStyle w:val="bulletlist"/>
        <w:rPr>
          <w:lang w:val="en-IE"/>
        </w:rPr>
      </w:pPr>
      <w:r w:rsidRPr="007A2F90">
        <w:rPr>
          <w:lang w:val="en-IE"/>
        </w:rPr>
        <w:lastRenderedPageBreak/>
        <w:t>Use a zero before decimal points: “0.25”, not “.25”. Use “cm3”, not “cc”. (</w:t>
      </w:r>
      <w:r w:rsidRPr="007A2F90">
        <w:rPr>
          <w:i/>
          <w:iCs/>
          <w:lang w:val="en-IE"/>
        </w:rPr>
        <w:t>bullet list</w:t>
      </w:r>
      <w:r w:rsidRPr="007A2F90">
        <w:rPr>
          <w:lang w:val="en-IE"/>
        </w:rPr>
        <w:t>)</w:t>
      </w:r>
    </w:p>
    <w:p w14:paraId="5FD76982" w14:textId="77777777" w:rsidR="009303D9" w:rsidRPr="007A2F90" w:rsidRDefault="009303D9" w:rsidP="00ED0149">
      <w:pPr>
        <w:pStyle w:val="Heading2"/>
        <w:rPr>
          <w:lang w:val="en-IE"/>
        </w:rPr>
      </w:pPr>
      <w:r w:rsidRPr="007A2F90">
        <w:rPr>
          <w:lang w:val="en-IE"/>
        </w:rPr>
        <w:t>Equations</w:t>
      </w:r>
    </w:p>
    <w:p w14:paraId="65F79497" w14:textId="77777777" w:rsidR="009303D9" w:rsidRPr="007A2F90" w:rsidRDefault="009303D9" w:rsidP="00E7596C">
      <w:pPr>
        <w:pStyle w:val="BodyText"/>
        <w:rPr>
          <w:lang w:val="en-IE"/>
        </w:rPr>
      </w:pPr>
      <w:r w:rsidRPr="007A2F90">
        <w:rPr>
          <w:lang w:val="en-IE"/>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60C5911" w14:textId="77777777" w:rsidR="009303D9" w:rsidRPr="007A2F90" w:rsidRDefault="009303D9" w:rsidP="00E7596C">
      <w:pPr>
        <w:pStyle w:val="BodyText"/>
        <w:rPr>
          <w:lang w:val="en-IE"/>
        </w:rPr>
      </w:pPr>
      <w:r w:rsidRPr="007A2F90">
        <w:rPr>
          <w:lang w:val="en-IE"/>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7A2F90">
        <w:rPr>
          <w:lang w:val="en-IE"/>
        </w:rPr>
        <w:t>:</w:t>
      </w:r>
    </w:p>
    <w:p w14:paraId="02C1D6D1" w14:textId="77777777" w:rsidR="009303D9" w:rsidRPr="007A2F90" w:rsidRDefault="009303D9" w:rsidP="003A19E2">
      <w:pPr>
        <w:pStyle w:val="equation"/>
        <w:rPr>
          <w:rFonts w:hint="eastAsia"/>
          <w:lang w:val="en-IE"/>
        </w:rPr>
      </w:pPr>
      <w:r w:rsidRPr="007A2F90">
        <w:rPr>
          <w:lang w:val="en-IE"/>
        </w:rPr>
        <w:tab/>
      </w:r>
      <w:r w:rsidR="008A2C7D" w:rsidRPr="007A2F90">
        <w:rPr>
          <w:rFonts w:ascii="Times New Roman" w:hAnsi="Times New Roman" w:cs="Times New Roman"/>
          <w:i/>
          <w:lang w:val="en-IE"/>
        </w:rPr>
        <w:t>a</w:t>
      </w:r>
      <w:r w:rsidR="008A2C7D" w:rsidRPr="007A2F90">
        <w:rPr>
          <w:lang w:val="en-IE"/>
        </w:rPr>
        <w:t></w:t>
      </w:r>
      <w:r w:rsidR="008A2C7D" w:rsidRPr="007A2F90">
        <w:rPr>
          <w:lang w:val="en-IE"/>
        </w:rPr>
        <w:t></w:t>
      </w:r>
      <w:r w:rsidR="008A2C7D" w:rsidRPr="007A2F90">
        <w:rPr>
          <w:lang w:val="en-IE"/>
        </w:rPr>
        <w:t></w:t>
      </w:r>
      <w:r w:rsidR="008A2C7D" w:rsidRPr="007A2F90">
        <w:rPr>
          <w:rFonts w:ascii="Times New Roman" w:hAnsi="Times New Roman" w:cs="Times New Roman"/>
          <w:i/>
          <w:lang w:val="en-IE"/>
        </w:rPr>
        <w:t>b</w:t>
      </w:r>
      <w:r w:rsidR="008A2C7D" w:rsidRPr="007A2F90">
        <w:rPr>
          <w:lang w:val="en-IE"/>
        </w:rPr>
        <w:t></w:t>
      </w:r>
      <w:r w:rsidR="008A2C7D" w:rsidRPr="007A2F90">
        <w:rPr>
          <w:lang w:val="en-IE"/>
        </w:rPr>
        <w:t></w:t>
      </w:r>
      <w:r w:rsidR="008A2C7D" w:rsidRPr="007A2F90">
        <w:rPr>
          <w:lang w:val="en-IE"/>
        </w:rPr>
        <w:t></w:t>
      </w:r>
      <w:r w:rsidR="008A2C7D" w:rsidRPr="007A2F90">
        <w:rPr>
          <w:lang w:val="en-IE"/>
        </w:rPr>
        <w:t></w:t>
      </w:r>
      <w:r w:rsidR="008A2C7D" w:rsidRPr="007A2F90">
        <w:rPr>
          <w:lang w:val="en-IE"/>
        </w:rPr>
        <w:t></w:t>
      </w:r>
      <w:r w:rsidR="008A2C7D" w:rsidRPr="007A2F90">
        <w:rPr>
          <w:lang w:val="en-IE"/>
        </w:rPr>
        <w:tab/>
      </w:r>
      <w:r w:rsidR="008A2C7D" w:rsidRPr="007A2F90">
        <w:rPr>
          <w:lang w:val="en-IE"/>
        </w:rPr>
        <w:t></w:t>
      </w:r>
      <w:r w:rsidR="008A2C7D" w:rsidRPr="007A2F90">
        <w:rPr>
          <w:lang w:val="en-IE"/>
        </w:rPr>
        <w:t></w:t>
      </w:r>
      <w:r w:rsidR="008A2C7D" w:rsidRPr="007A2F90">
        <w:rPr>
          <w:lang w:val="en-IE"/>
        </w:rPr>
        <w:t></w:t>
      </w:r>
    </w:p>
    <w:p w14:paraId="615ACA25" w14:textId="77777777" w:rsidR="009303D9" w:rsidRPr="007A2F90" w:rsidRDefault="009303D9" w:rsidP="00E7596C">
      <w:pPr>
        <w:pStyle w:val="BodyText"/>
        <w:rPr>
          <w:lang w:val="en-IE"/>
        </w:rPr>
      </w:pPr>
      <w:r w:rsidRPr="007A2F90">
        <w:rPr>
          <w:lang w:val="en-IE"/>
        </w:rPr>
        <w:t xml:space="preserve">Note that the equation is </w:t>
      </w:r>
      <w:proofErr w:type="spellStart"/>
      <w:r w:rsidRPr="007A2F90">
        <w:rPr>
          <w:lang w:val="en-IE"/>
        </w:rPr>
        <w:t>centered</w:t>
      </w:r>
      <w:proofErr w:type="spellEnd"/>
      <w:r w:rsidRPr="007A2F90">
        <w:rPr>
          <w:lang w:val="en-IE"/>
        </w:rPr>
        <w:t xml:space="preserve"> using a </w:t>
      </w:r>
      <w:proofErr w:type="spellStart"/>
      <w:r w:rsidRPr="007A2F90">
        <w:rPr>
          <w:lang w:val="en-IE"/>
        </w:rPr>
        <w:t>center</w:t>
      </w:r>
      <w:proofErr w:type="spellEnd"/>
      <w:r w:rsidRPr="007A2F90">
        <w:rPr>
          <w:lang w:val="en-IE"/>
        </w:rPr>
        <w:t xml:space="preserve"> tab stop. Be sure that the symbols in your equation have been defined before or immediately following the equation. Use “(1)”, not “Eq. (1)” or “equation (1)”, except at the beginning of a sentence: “Equation (1) is . . .”</w:t>
      </w:r>
    </w:p>
    <w:p w14:paraId="7309CC73" w14:textId="77777777" w:rsidR="009303D9" w:rsidRPr="007A2F90" w:rsidRDefault="009303D9" w:rsidP="00ED0149">
      <w:pPr>
        <w:pStyle w:val="Heading2"/>
        <w:rPr>
          <w:lang w:val="en-IE"/>
        </w:rPr>
      </w:pPr>
      <w:r w:rsidRPr="007A2F90">
        <w:rPr>
          <w:lang w:val="en-IE"/>
        </w:rPr>
        <w:t>Some Common Mistakes</w:t>
      </w:r>
    </w:p>
    <w:p w14:paraId="59F554E8" w14:textId="77777777" w:rsidR="009303D9" w:rsidRPr="007A2F90" w:rsidRDefault="009303D9" w:rsidP="00E7596C">
      <w:pPr>
        <w:pStyle w:val="bulletlist"/>
        <w:rPr>
          <w:lang w:val="en-IE"/>
        </w:rPr>
      </w:pPr>
      <w:r w:rsidRPr="007A2F90">
        <w:rPr>
          <w:lang w:val="en-IE"/>
        </w:rPr>
        <w:t>The word “data” is plural, not singular.</w:t>
      </w:r>
    </w:p>
    <w:p w14:paraId="33C72F4F" w14:textId="77777777" w:rsidR="009303D9" w:rsidRPr="007A2F90" w:rsidRDefault="009303D9" w:rsidP="00E7596C">
      <w:pPr>
        <w:pStyle w:val="bulletlist"/>
        <w:rPr>
          <w:lang w:val="en-IE"/>
        </w:rPr>
      </w:pPr>
      <w:r w:rsidRPr="007A2F90">
        <w:rPr>
          <w:lang w:val="en-IE"/>
        </w:rPr>
        <w:t xml:space="preserve">The subscript for the permeability of vacuum </w:t>
      </w:r>
      <w:r w:rsidRPr="007A2F90">
        <w:rPr>
          <w:rFonts w:ascii="Symbol" w:hAnsi="Symbol" w:cs="Symbol"/>
          <w:i/>
          <w:iCs/>
          <w:snapToGrid w:val="0"/>
          <w:lang w:val="en-IE"/>
        </w:rPr>
        <w:t></w:t>
      </w:r>
      <w:r w:rsidRPr="007A2F90">
        <w:rPr>
          <w:vertAlign w:val="subscript"/>
          <w:lang w:val="en-IE"/>
        </w:rPr>
        <w:t>0</w:t>
      </w:r>
      <w:r w:rsidRPr="007A2F90">
        <w:rPr>
          <w:lang w:val="en-IE"/>
        </w:rPr>
        <w:t>, and other common scientific constants, is zero with subscript formatting, not a lowercase letter “o”.</w:t>
      </w:r>
    </w:p>
    <w:p w14:paraId="7B6EBA2B" w14:textId="77777777" w:rsidR="009303D9" w:rsidRPr="007A2F90" w:rsidRDefault="009303D9" w:rsidP="00E7596C">
      <w:pPr>
        <w:pStyle w:val="bulletlist"/>
        <w:rPr>
          <w:lang w:val="en-IE"/>
        </w:rPr>
      </w:pPr>
      <w:r w:rsidRPr="007A2F90">
        <w:rPr>
          <w:lang w:val="en-IE"/>
        </w:rPr>
        <w:t xml:space="preserve">In American </w:t>
      </w:r>
      <w:r w:rsidR="002850E3" w:rsidRPr="007A2F90">
        <w:rPr>
          <w:lang w:val="en-IE"/>
        </w:rPr>
        <w:t>English, commas, semi</w:t>
      </w:r>
      <w:r w:rsidRPr="007A2F90">
        <w:rPr>
          <w:lang w:val="en-IE"/>
        </w:rPr>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61E906F8" w14:textId="77777777" w:rsidR="009303D9" w:rsidRPr="007A2F90" w:rsidRDefault="009303D9" w:rsidP="00E7596C">
      <w:pPr>
        <w:pStyle w:val="bulletlist"/>
        <w:rPr>
          <w:lang w:val="en-IE"/>
        </w:rPr>
      </w:pPr>
      <w:r w:rsidRPr="007A2F90">
        <w:rPr>
          <w:lang w:val="en-IE"/>
        </w:rPr>
        <w:t>A graph within a graph is an “inset”, not an “insert”. The word alternatively is preferred to the word “alternately” (unless you really mean something that alternates).</w:t>
      </w:r>
    </w:p>
    <w:p w14:paraId="43BD41F8" w14:textId="77777777" w:rsidR="009303D9" w:rsidRPr="007A2F90" w:rsidRDefault="009303D9" w:rsidP="00E7596C">
      <w:pPr>
        <w:pStyle w:val="bulletlist"/>
        <w:rPr>
          <w:lang w:val="en-IE"/>
        </w:rPr>
      </w:pPr>
      <w:r w:rsidRPr="007A2F90">
        <w:rPr>
          <w:lang w:val="en-IE"/>
        </w:rPr>
        <w:t>Do not use the word “essentially” to mean “approximately” or “effectively”.</w:t>
      </w:r>
    </w:p>
    <w:p w14:paraId="4E9893D2" w14:textId="77777777" w:rsidR="009303D9" w:rsidRPr="007A2F90" w:rsidRDefault="009303D9" w:rsidP="00E7596C">
      <w:pPr>
        <w:pStyle w:val="bulletlist"/>
        <w:rPr>
          <w:lang w:val="en-IE"/>
        </w:rPr>
      </w:pPr>
      <w:r w:rsidRPr="007A2F90">
        <w:rPr>
          <w:lang w:val="en-IE"/>
        </w:rPr>
        <w:t>In your paper title, if the words “that uses” can accurately replace the word “using”, capitalize the “u”; if not, keep using lower-cased.</w:t>
      </w:r>
    </w:p>
    <w:p w14:paraId="4E6BB921" w14:textId="77777777" w:rsidR="009303D9" w:rsidRPr="007A2F90" w:rsidRDefault="009303D9" w:rsidP="00E7596C">
      <w:pPr>
        <w:pStyle w:val="bulletlist"/>
        <w:rPr>
          <w:lang w:val="en-IE"/>
        </w:rPr>
      </w:pPr>
      <w:r w:rsidRPr="007A2F90">
        <w:rPr>
          <w:lang w:val="en-IE"/>
        </w:rPr>
        <w:t>Be aware of the different meanings of the homophones “affect” and “effect”, “complement” and “compliment”, “discreet” and “discrete”, “principal” and “principle”.</w:t>
      </w:r>
    </w:p>
    <w:p w14:paraId="15A9F8AA" w14:textId="77777777" w:rsidR="009303D9" w:rsidRPr="007A2F90" w:rsidRDefault="009303D9" w:rsidP="00E7596C">
      <w:pPr>
        <w:pStyle w:val="bulletlist"/>
        <w:rPr>
          <w:lang w:val="en-IE"/>
        </w:rPr>
      </w:pPr>
      <w:r w:rsidRPr="007A2F90">
        <w:rPr>
          <w:lang w:val="en-IE"/>
        </w:rPr>
        <w:t>Do not confuse “imply” and “infer”.</w:t>
      </w:r>
    </w:p>
    <w:p w14:paraId="34B544C9" w14:textId="77777777" w:rsidR="009303D9" w:rsidRPr="007A2F90" w:rsidRDefault="009303D9" w:rsidP="00E7596C">
      <w:pPr>
        <w:pStyle w:val="bulletlist"/>
        <w:rPr>
          <w:lang w:val="en-IE"/>
        </w:rPr>
      </w:pPr>
      <w:r w:rsidRPr="007A2F90">
        <w:rPr>
          <w:lang w:val="en-IE"/>
        </w:rPr>
        <w:t>The prefix “non” is not a word; it should be joined to the word it modifies, usually without a hyphen.</w:t>
      </w:r>
    </w:p>
    <w:p w14:paraId="291CA13F" w14:textId="77777777" w:rsidR="009303D9" w:rsidRPr="007A2F90" w:rsidRDefault="009303D9" w:rsidP="00E7596C">
      <w:pPr>
        <w:pStyle w:val="bulletlist"/>
        <w:rPr>
          <w:lang w:val="en-IE"/>
        </w:rPr>
      </w:pPr>
      <w:r w:rsidRPr="007A2F90">
        <w:rPr>
          <w:lang w:val="en-IE"/>
        </w:rPr>
        <w:t>There is no period after the “et” in the Latin abbreviation “et al.”.</w:t>
      </w:r>
    </w:p>
    <w:p w14:paraId="4A62B9A4" w14:textId="77777777" w:rsidR="009303D9" w:rsidRPr="007A2F90" w:rsidRDefault="009303D9" w:rsidP="00E7596C">
      <w:pPr>
        <w:pStyle w:val="bulletlist"/>
        <w:rPr>
          <w:lang w:val="en-IE"/>
        </w:rPr>
      </w:pPr>
      <w:r w:rsidRPr="007A2F90">
        <w:rPr>
          <w:lang w:val="en-IE"/>
        </w:rPr>
        <w:t>The abbreviation “i.e.” means “that is”, and the abbreviation “e.g.” means “for example”.</w:t>
      </w:r>
    </w:p>
    <w:p w14:paraId="4878948E" w14:textId="77777777" w:rsidR="009303D9" w:rsidRPr="007A2F90" w:rsidRDefault="009303D9" w:rsidP="00E7596C">
      <w:pPr>
        <w:pStyle w:val="BodyText"/>
        <w:rPr>
          <w:lang w:val="en-IE"/>
        </w:rPr>
      </w:pPr>
      <w:r w:rsidRPr="007A2F90">
        <w:rPr>
          <w:lang w:val="en-IE"/>
        </w:rPr>
        <w:t>An excellent style manual for science writers is [7].</w:t>
      </w:r>
    </w:p>
    <w:p w14:paraId="54E7EC78" w14:textId="77777777" w:rsidR="009303D9" w:rsidRPr="007A2F90" w:rsidRDefault="009303D9" w:rsidP="006B6B66">
      <w:pPr>
        <w:pStyle w:val="Heading1"/>
        <w:rPr>
          <w:lang w:val="en-IE"/>
        </w:rPr>
      </w:pPr>
      <w:r w:rsidRPr="007A2F90">
        <w:rPr>
          <w:lang w:val="en-IE"/>
        </w:rPr>
        <w:t>Using the Template</w:t>
      </w:r>
    </w:p>
    <w:p w14:paraId="60678C1C" w14:textId="77777777" w:rsidR="009303D9" w:rsidRPr="007A2F90" w:rsidRDefault="009303D9" w:rsidP="00E7596C">
      <w:pPr>
        <w:pStyle w:val="BodyText"/>
        <w:rPr>
          <w:lang w:val="en-IE"/>
        </w:rPr>
      </w:pPr>
      <w:r w:rsidRPr="007A2F90">
        <w:rPr>
          <w:lang w:val="en-IE"/>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F770A2D" w14:textId="77777777" w:rsidR="009303D9" w:rsidRPr="007A2F90" w:rsidRDefault="009303D9" w:rsidP="00ED0149">
      <w:pPr>
        <w:pStyle w:val="Heading2"/>
        <w:rPr>
          <w:lang w:val="en-IE"/>
        </w:rPr>
      </w:pPr>
      <w:r w:rsidRPr="007A2F90">
        <w:rPr>
          <w:lang w:val="en-IE"/>
        </w:rPr>
        <w:t>Authors and Affiliations</w:t>
      </w:r>
    </w:p>
    <w:p w14:paraId="14CE51CB" w14:textId="77777777" w:rsidR="009303D9" w:rsidRPr="007A2F90" w:rsidRDefault="009303D9" w:rsidP="00E7596C">
      <w:pPr>
        <w:pStyle w:val="BodyText"/>
        <w:rPr>
          <w:lang w:val="en-IE"/>
        </w:rPr>
      </w:pPr>
      <w:r w:rsidRPr="007A2F90">
        <w:rPr>
          <w:b/>
          <w:lang w:val="en-IE"/>
        </w:rPr>
        <w:t xml:space="preserve">The template is </w:t>
      </w:r>
      <w:r w:rsidR="007D6232" w:rsidRPr="007A2F90">
        <w:rPr>
          <w:b/>
          <w:lang w:val="en-IE"/>
        </w:rPr>
        <w:t>designed</w:t>
      </w:r>
      <w:r w:rsidR="00D76668" w:rsidRPr="007A2F90">
        <w:rPr>
          <w:b/>
          <w:lang w:val="en-IE"/>
        </w:rPr>
        <w:t xml:space="preserve"> for,</w:t>
      </w:r>
      <w:r w:rsidR="007D6232" w:rsidRPr="007A2F90">
        <w:rPr>
          <w:b/>
          <w:lang w:val="en-IE"/>
        </w:rPr>
        <w:t xml:space="preserve"> but not limited to</w:t>
      </w:r>
      <w:r w:rsidR="00D76668" w:rsidRPr="007A2F90">
        <w:rPr>
          <w:b/>
          <w:lang w:val="en-IE"/>
        </w:rPr>
        <w:t>,</w:t>
      </w:r>
      <w:r w:rsidR="00354FCF" w:rsidRPr="007A2F90">
        <w:rPr>
          <w:b/>
          <w:lang w:val="en-IE"/>
        </w:rPr>
        <w:t xml:space="preserve"> </w:t>
      </w:r>
      <w:r w:rsidR="002850E3" w:rsidRPr="007A2F90">
        <w:rPr>
          <w:b/>
          <w:lang w:val="en-IE"/>
        </w:rPr>
        <w:t>six</w:t>
      </w:r>
      <w:r w:rsidR="00354FCF" w:rsidRPr="007A2F90">
        <w:rPr>
          <w:b/>
          <w:lang w:val="en-IE"/>
        </w:rPr>
        <w:t xml:space="preserve"> authors.</w:t>
      </w:r>
      <w:r w:rsidR="00354FCF" w:rsidRPr="007A2F90">
        <w:rPr>
          <w:lang w:val="en-IE"/>
        </w:rPr>
        <w:t xml:space="preserve"> </w:t>
      </w:r>
      <w:r w:rsidR="007D6232" w:rsidRPr="007A2F90">
        <w:rPr>
          <w:lang w:val="en-IE"/>
        </w:rPr>
        <w:t xml:space="preserve">A minimum of one author is required for all conference articles. </w:t>
      </w:r>
      <w:r w:rsidR="00D7522C" w:rsidRPr="007A2F90">
        <w:rPr>
          <w:lang w:val="en-IE"/>
        </w:rPr>
        <w:t>Author names should be listed starting from left to right and then moving down to the next line. This is the author sequence that will be used in future citations and by indexing services. Names should not be listed in columns nor group by affiliation.</w:t>
      </w:r>
      <w:r w:rsidR="002850E3" w:rsidRPr="007A2F90">
        <w:rPr>
          <w:lang w:val="en-IE"/>
        </w:rPr>
        <w:t xml:space="preserve"> </w:t>
      </w:r>
      <w:r w:rsidRPr="007A2F90">
        <w:rPr>
          <w:lang w:val="en-IE"/>
        </w:rPr>
        <w:t>Please keep your affiliations as succinct as possible (for example, do not differentiate among departments of the same organization).</w:t>
      </w:r>
    </w:p>
    <w:p w14:paraId="4A248C85" w14:textId="77777777" w:rsidR="002850E3" w:rsidRPr="007A2F90" w:rsidRDefault="002850E3" w:rsidP="00794804">
      <w:pPr>
        <w:pStyle w:val="Heading3"/>
        <w:rPr>
          <w:lang w:val="en-IE"/>
        </w:rPr>
      </w:pPr>
      <w:r w:rsidRPr="007A2F90">
        <w:rPr>
          <w:lang w:val="en-IE"/>
        </w:rPr>
        <w:t xml:space="preserve">For papers with more than six authors: </w:t>
      </w:r>
      <w:r w:rsidRPr="007A2F90">
        <w:rPr>
          <w:i w:val="0"/>
          <w:lang w:val="en-IE"/>
        </w:rPr>
        <w:t>Add author names horizontally, moving to a third row if needed for more than 8 authors.</w:t>
      </w:r>
    </w:p>
    <w:p w14:paraId="772FB7DC" w14:textId="77777777" w:rsidR="009303D9" w:rsidRPr="007A2F90" w:rsidRDefault="009303D9" w:rsidP="00794804">
      <w:pPr>
        <w:pStyle w:val="Heading3"/>
        <w:rPr>
          <w:lang w:val="en-IE"/>
        </w:rPr>
      </w:pPr>
      <w:r w:rsidRPr="007A2F90">
        <w:rPr>
          <w:lang w:val="en-IE"/>
        </w:rPr>
        <w:t xml:space="preserve">For </w:t>
      </w:r>
      <w:r w:rsidR="00354FCF" w:rsidRPr="007A2F90">
        <w:rPr>
          <w:lang w:val="en-IE"/>
        </w:rPr>
        <w:t xml:space="preserve">papers with less than </w:t>
      </w:r>
      <w:r w:rsidR="002850E3" w:rsidRPr="007A2F90">
        <w:rPr>
          <w:lang w:val="en-IE"/>
        </w:rPr>
        <w:t>six</w:t>
      </w:r>
      <w:r w:rsidR="00354FCF" w:rsidRPr="007A2F90">
        <w:rPr>
          <w:lang w:val="en-IE"/>
        </w:rPr>
        <w:t xml:space="preserve"> authors</w:t>
      </w:r>
      <w:r w:rsidRPr="007A2F90">
        <w:rPr>
          <w:lang w:val="en-IE"/>
        </w:rPr>
        <w:t xml:space="preserve">: </w:t>
      </w:r>
      <w:r w:rsidRPr="007A2F90">
        <w:rPr>
          <w:i w:val="0"/>
          <w:lang w:val="en-IE"/>
        </w:rPr>
        <w:t>To change the default, adjust the template as follows.</w:t>
      </w:r>
    </w:p>
    <w:p w14:paraId="7CAD6230" w14:textId="77777777" w:rsidR="009303D9" w:rsidRPr="007A2F90" w:rsidRDefault="009303D9" w:rsidP="00794804">
      <w:pPr>
        <w:pStyle w:val="Heading4"/>
        <w:rPr>
          <w:lang w:val="en-IE"/>
        </w:rPr>
      </w:pPr>
      <w:r w:rsidRPr="007A2F90">
        <w:rPr>
          <w:lang w:val="en-IE"/>
        </w:rPr>
        <w:t xml:space="preserve">Selection: </w:t>
      </w:r>
      <w:r w:rsidRPr="007A2F90">
        <w:rPr>
          <w:i w:val="0"/>
          <w:lang w:val="en-IE"/>
        </w:rPr>
        <w:t>Highlight all author and affiliation lines.</w:t>
      </w:r>
    </w:p>
    <w:p w14:paraId="229CC19A" w14:textId="77777777" w:rsidR="009303D9" w:rsidRPr="007A2F90" w:rsidRDefault="009303D9" w:rsidP="00794804">
      <w:pPr>
        <w:pStyle w:val="Heading4"/>
        <w:rPr>
          <w:lang w:val="en-IE"/>
        </w:rPr>
      </w:pPr>
      <w:r w:rsidRPr="007A2F90">
        <w:rPr>
          <w:lang w:val="en-IE"/>
        </w:rPr>
        <w:t xml:space="preserve">Change number of columns: </w:t>
      </w:r>
      <w:r w:rsidRPr="007A2F90">
        <w:rPr>
          <w:i w:val="0"/>
          <w:lang w:val="en-IE"/>
        </w:rPr>
        <w:t xml:space="preserve">Select the Columns icon from the MS Word Standard toolbar and then select </w:t>
      </w:r>
      <w:r w:rsidR="00354FCF" w:rsidRPr="007A2F90">
        <w:rPr>
          <w:i w:val="0"/>
          <w:lang w:val="en-IE"/>
        </w:rPr>
        <w:t>the correct number of columns</w:t>
      </w:r>
      <w:r w:rsidRPr="007A2F90">
        <w:rPr>
          <w:i w:val="0"/>
          <w:lang w:val="en-IE"/>
        </w:rPr>
        <w:t xml:space="preserve"> from the selection palette.</w:t>
      </w:r>
    </w:p>
    <w:p w14:paraId="72BBF5A7" w14:textId="77777777" w:rsidR="007D6232" w:rsidRPr="007A2F90" w:rsidRDefault="009303D9" w:rsidP="007D6232">
      <w:pPr>
        <w:pStyle w:val="Heading4"/>
        <w:rPr>
          <w:i w:val="0"/>
          <w:lang w:val="en-IE"/>
        </w:rPr>
      </w:pPr>
      <w:r w:rsidRPr="007A2F90">
        <w:rPr>
          <w:lang w:val="en-IE"/>
        </w:rPr>
        <w:t xml:space="preserve">Deletion: </w:t>
      </w:r>
      <w:r w:rsidRPr="007A2F90">
        <w:rPr>
          <w:i w:val="0"/>
          <w:lang w:val="en-IE"/>
        </w:rPr>
        <w:t xml:space="preserve">Delete the author and affiliation lines for the </w:t>
      </w:r>
      <w:r w:rsidR="00354FCF" w:rsidRPr="007A2F90">
        <w:rPr>
          <w:i w:val="0"/>
          <w:lang w:val="en-IE"/>
        </w:rPr>
        <w:t>extra authors.</w:t>
      </w:r>
    </w:p>
    <w:p w14:paraId="2FCBF72A" w14:textId="77777777" w:rsidR="006F6D3D" w:rsidRPr="007A2F90" w:rsidRDefault="006F6D3D" w:rsidP="006F6D3D">
      <w:pPr>
        <w:jc w:val="start"/>
        <w:rPr>
          <w:i/>
          <w:iCs/>
          <w:noProof/>
          <w:lang w:val="en-IE"/>
        </w:rPr>
      </w:pPr>
    </w:p>
    <w:p w14:paraId="3ED5C486" w14:textId="77777777" w:rsidR="009303D9" w:rsidRPr="007A2F90" w:rsidRDefault="009303D9" w:rsidP="00ED0149">
      <w:pPr>
        <w:pStyle w:val="Heading2"/>
        <w:rPr>
          <w:lang w:val="en-IE"/>
        </w:rPr>
      </w:pPr>
      <w:r w:rsidRPr="007A2F90">
        <w:rPr>
          <w:lang w:val="en-IE"/>
        </w:rPr>
        <w:t>Identify the Headings</w:t>
      </w:r>
    </w:p>
    <w:p w14:paraId="29E12059" w14:textId="77777777" w:rsidR="009303D9" w:rsidRPr="007A2F90" w:rsidRDefault="009303D9" w:rsidP="00E7596C">
      <w:pPr>
        <w:pStyle w:val="BodyText"/>
        <w:rPr>
          <w:lang w:val="en-IE"/>
        </w:rPr>
      </w:pPr>
      <w:r w:rsidRPr="007A2F90">
        <w:rPr>
          <w:lang w:val="en-IE"/>
        </w:rPr>
        <w:t>Headings, or heads, are organizational devices that guide the reader through your paper. There are two types: component heads and text heads.</w:t>
      </w:r>
    </w:p>
    <w:p w14:paraId="3CA2BDBD" w14:textId="77777777" w:rsidR="009303D9" w:rsidRPr="007A2F90" w:rsidRDefault="009303D9" w:rsidP="00E7596C">
      <w:pPr>
        <w:pStyle w:val="BodyText"/>
        <w:rPr>
          <w:lang w:val="en-IE"/>
        </w:rPr>
      </w:pPr>
      <w:r w:rsidRPr="007A2F90">
        <w:rPr>
          <w:lang w:val="en-IE"/>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4A55D978" w14:textId="77777777" w:rsidR="009303D9" w:rsidRPr="007A2F90" w:rsidRDefault="009303D9" w:rsidP="00E7596C">
      <w:pPr>
        <w:pStyle w:val="BodyText"/>
        <w:rPr>
          <w:lang w:val="en-IE"/>
        </w:rPr>
      </w:pPr>
      <w:r w:rsidRPr="007A2F90">
        <w:rPr>
          <w:lang w:val="en-IE"/>
        </w:rPr>
        <w:t xml:space="preserve">Text heads organize the topics on a relational, hierarchical basis. For example, the paper title is the primary text head because all subsequent material relates and elaborates on this </w:t>
      </w:r>
      <w:r w:rsidRPr="007A2F90">
        <w:rPr>
          <w:lang w:val="en-IE"/>
        </w:rPr>
        <w:lastRenderedPageBreak/>
        <w:t>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5A84BA51" w14:textId="77777777" w:rsidR="009303D9" w:rsidRPr="007A2F90" w:rsidRDefault="009303D9" w:rsidP="00ED0149">
      <w:pPr>
        <w:pStyle w:val="Heading2"/>
        <w:rPr>
          <w:lang w:val="en-IE"/>
        </w:rPr>
      </w:pPr>
      <w:r w:rsidRPr="007A2F90">
        <w:rPr>
          <w:lang w:val="en-IE"/>
        </w:rPr>
        <w:t>Figures and Tables</w:t>
      </w:r>
    </w:p>
    <w:p w14:paraId="30EC9A95" w14:textId="77777777" w:rsidR="009303D9" w:rsidRPr="007A2F90" w:rsidRDefault="0004781E" w:rsidP="00FA4C32">
      <w:pPr>
        <w:pStyle w:val="Heading4"/>
        <w:rPr>
          <w:lang w:val="en-IE"/>
        </w:rPr>
      </w:pPr>
      <w:r w:rsidRPr="007A2F90">
        <w:rPr>
          <w:lang w:val="en-IE"/>
        </w:rPr>
        <w:t xml:space="preserve"> </w:t>
      </w:r>
      <w:r w:rsidR="009303D9" w:rsidRPr="007A2F90">
        <w:rPr>
          <w:lang w:val="en-IE"/>
        </w:rPr>
        <w:t xml:space="preserve">Positioning Figures and Tables: </w:t>
      </w:r>
      <w:r w:rsidR="009303D9" w:rsidRPr="007A2F90">
        <w:rPr>
          <w:i w:val="0"/>
          <w:lang w:val="en-I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FF301D8" w14:textId="77777777" w:rsidR="009303D9" w:rsidRPr="007A2F90" w:rsidRDefault="009303D9">
      <w:pPr>
        <w:pStyle w:val="tablehead"/>
        <w:rPr>
          <w:lang w:val="en-IE"/>
        </w:rPr>
      </w:pPr>
      <w:r w:rsidRPr="007A2F90">
        <w:rPr>
          <w:lang w:val="en-IE"/>
        </w:rP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7A2F90" w14:paraId="1278A9EF" w14:textId="77777777">
        <w:trPr>
          <w:cantSplit/>
          <w:trHeight w:val="240"/>
          <w:tblHeader/>
          <w:jc w:val="center"/>
        </w:trPr>
        <w:tc>
          <w:tcPr>
            <w:tcW w:w="36pt" w:type="dxa"/>
            <w:vMerge w:val="restart"/>
            <w:vAlign w:val="center"/>
          </w:tcPr>
          <w:p w14:paraId="289AB2C2" w14:textId="77777777" w:rsidR="009303D9" w:rsidRPr="007A2F90" w:rsidRDefault="009303D9">
            <w:pPr>
              <w:pStyle w:val="tablecolhead"/>
              <w:rPr>
                <w:lang w:val="en-IE"/>
              </w:rPr>
            </w:pPr>
            <w:r w:rsidRPr="007A2F90">
              <w:rPr>
                <w:lang w:val="en-IE"/>
              </w:rPr>
              <w:t>Table Head</w:t>
            </w:r>
          </w:p>
        </w:tc>
        <w:tc>
          <w:tcPr>
            <w:tcW w:w="207pt" w:type="dxa"/>
            <w:gridSpan w:val="3"/>
            <w:vAlign w:val="center"/>
          </w:tcPr>
          <w:p w14:paraId="51C8768C" w14:textId="77777777" w:rsidR="009303D9" w:rsidRPr="007A2F90" w:rsidRDefault="009303D9">
            <w:pPr>
              <w:pStyle w:val="tablecolhead"/>
              <w:rPr>
                <w:lang w:val="en-IE"/>
              </w:rPr>
            </w:pPr>
            <w:r w:rsidRPr="007A2F90">
              <w:rPr>
                <w:lang w:val="en-IE"/>
              </w:rPr>
              <w:t>Table Column Head</w:t>
            </w:r>
          </w:p>
        </w:tc>
      </w:tr>
      <w:tr w:rsidR="009303D9" w:rsidRPr="007A2F90" w14:paraId="6C4244AA" w14:textId="77777777">
        <w:trPr>
          <w:cantSplit/>
          <w:trHeight w:val="240"/>
          <w:tblHeader/>
          <w:jc w:val="center"/>
        </w:trPr>
        <w:tc>
          <w:tcPr>
            <w:tcW w:w="36pt" w:type="dxa"/>
            <w:vMerge/>
          </w:tcPr>
          <w:p w14:paraId="3A1BFDD5" w14:textId="77777777" w:rsidR="009303D9" w:rsidRPr="007A2F90" w:rsidRDefault="009303D9">
            <w:pPr>
              <w:rPr>
                <w:sz w:val="16"/>
                <w:szCs w:val="16"/>
                <w:lang w:val="en-IE"/>
              </w:rPr>
            </w:pPr>
          </w:p>
        </w:tc>
        <w:tc>
          <w:tcPr>
            <w:tcW w:w="117pt" w:type="dxa"/>
            <w:vAlign w:val="center"/>
          </w:tcPr>
          <w:p w14:paraId="5EE59D35" w14:textId="77777777" w:rsidR="009303D9" w:rsidRPr="007A2F90" w:rsidRDefault="009303D9">
            <w:pPr>
              <w:pStyle w:val="tablecolsubhead"/>
              <w:rPr>
                <w:lang w:val="en-IE"/>
              </w:rPr>
            </w:pPr>
            <w:r w:rsidRPr="007A2F90">
              <w:rPr>
                <w:lang w:val="en-IE"/>
              </w:rPr>
              <w:t>Table column subhead</w:t>
            </w:r>
          </w:p>
        </w:tc>
        <w:tc>
          <w:tcPr>
            <w:tcW w:w="45pt" w:type="dxa"/>
            <w:vAlign w:val="center"/>
          </w:tcPr>
          <w:p w14:paraId="29CCE960" w14:textId="77777777" w:rsidR="009303D9" w:rsidRPr="007A2F90" w:rsidRDefault="009303D9">
            <w:pPr>
              <w:pStyle w:val="tablecolsubhead"/>
              <w:rPr>
                <w:lang w:val="en-IE"/>
              </w:rPr>
            </w:pPr>
            <w:r w:rsidRPr="007A2F90">
              <w:rPr>
                <w:lang w:val="en-IE"/>
              </w:rPr>
              <w:t>Subhead</w:t>
            </w:r>
          </w:p>
        </w:tc>
        <w:tc>
          <w:tcPr>
            <w:tcW w:w="45pt" w:type="dxa"/>
            <w:vAlign w:val="center"/>
          </w:tcPr>
          <w:p w14:paraId="3521C9AA" w14:textId="77777777" w:rsidR="009303D9" w:rsidRPr="007A2F90" w:rsidRDefault="009303D9">
            <w:pPr>
              <w:pStyle w:val="tablecolsubhead"/>
              <w:rPr>
                <w:lang w:val="en-IE"/>
              </w:rPr>
            </w:pPr>
            <w:r w:rsidRPr="007A2F90">
              <w:rPr>
                <w:lang w:val="en-IE"/>
              </w:rPr>
              <w:t>Subhead</w:t>
            </w:r>
          </w:p>
        </w:tc>
      </w:tr>
      <w:tr w:rsidR="009303D9" w:rsidRPr="007A2F90" w14:paraId="2694D18A" w14:textId="77777777">
        <w:trPr>
          <w:trHeight w:val="320"/>
          <w:jc w:val="center"/>
        </w:trPr>
        <w:tc>
          <w:tcPr>
            <w:tcW w:w="36pt" w:type="dxa"/>
            <w:vAlign w:val="center"/>
          </w:tcPr>
          <w:p w14:paraId="455119A8" w14:textId="77777777" w:rsidR="009303D9" w:rsidRPr="007A2F90" w:rsidRDefault="009303D9">
            <w:pPr>
              <w:pStyle w:val="tablecopy"/>
              <w:rPr>
                <w:sz w:val="8"/>
                <w:szCs w:val="8"/>
                <w:lang w:val="en-IE"/>
              </w:rPr>
            </w:pPr>
            <w:r w:rsidRPr="007A2F90">
              <w:rPr>
                <w:lang w:val="en-IE"/>
              </w:rPr>
              <w:t>copy</w:t>
            </w:r>
          </w:p>
        </w:tc>
        <w:tc>
          <w:tcPr>
            <w:tcW w:w="117pt" w:type="dxa"/>
            <w:vAlign w:val="center"/>
          </w:tcPr>
          <w:p w14:paraId="53520B16" w14:textId="77777777" w:rsidR="009303D9" w:rsidRPr="007A2F90" w:rsidRDefault="009303D9">
            <w:pPr>
              <w:pStyle w:val="tablecopy"/>
              <w:rPr>
                <w:lang w:val="en-IE"/>
              </w:rPr>
            </w:pPr>
            <w:r w:rsidRPr="007A2F90">
              <w:rPr>
                <w:lang w:val="en-IE"/>
              </w:rPr>
              <w:t>More table copy</w:t>
            </w:r>
            <w:r w:rsidRPr="007A2F90">
              <w:rPr>
                <w:vertAlign w:val="superscript"/>
                <w:lang w:val="en-IE"/>
              </w:rPr>
              <w:t>a</w:t>
            </w:r>
          </w:p>
        </w:tc>
        <w:tc>
          <w:tcPr>
            <w:tcW w:w="45pt" w:type="dxa"/>
            <w:vAlign w:val="center"/>
          </w:tcPr>
          <w:p w14:paraId="0D8028A8" w14:textId="77777777" w:rsidR="009303D9" w:rsidRPr="007A2F90" w:rsidRDefault="009303D9">
            <w:pPr>
              <w:rPr>
                <w:sz w:val="16"/>
                <w:szCs w:val="16"/>
                <w:lang w:val="en-IE"/>
              </w:rPr>
            </w:pPr>
          </w:p>
        </w:tc>
        <w:tc>
          <w:tcPr>
            <w:tcW w:w="45pt" w:type="dxa"/>
            <w:vAlign w:val="center"/>
          </w:tcPr>
          <w:p w14:paraId="08A46A75" w14:textId="77777777" w:rsidR="009303D9" w:rsidRPr="007A2F90" w:rsidRDefault="009303D9">
            <w:pPr>
              <w:rPr>
                <w:sz w:val="16"/>
                <w:szCs w:val="16"/>
                <w:lang w:val="en-IE"/>
              </w:rPr>
            </w:pPr>
          </w:p>
        </w:tc>
      </w:tr>
    </w:tbl>
    <w:p w14:paraId="3637561A" w14:textId="77777777" w:rsidR="009303D9" w:rsidRPr="007A2F90" w:rsidRDefault="006347CF" w:rsidP="005E2800">
      <w:pPr>
        <w:pStyle w:val="tablefootnote"/>
        <w:rPr>
          <w:lang w:val="en-IE"/>
        </w:rPr>
      </w:pPr>
      <w:r w:rsidRPr="007A2F90">
        <w:rPr>
          <w:noProof/>
          <w:lang w:val="en-IE"/>
        </w:rPr>
        <w:drawing>
          <wp:anchor distT="0" distB="0" distL="114300" distR="114300" simplePos="0" relativeHeight="251657728" behindDoc="1" locked="0" layoutInCell="1" allowOverlap="1" wp14:anchorId="381BB491" wp14:editId="19EAE509">
            <wp:simplePos x="0" y="0"/>
            <wp:positionH relativeFrom="column">
              <wp:align>right</wp:align>
            </wp:positionH>
            <wp:positionV relativeFrom="paragraph">
              <wp:posOffset>134836</wp:posOffset>
            </wp:positionV>
            <wp:extent cx="3200400" cy="1143000"/>
            <wp:effectExtent l="0" t="0" r="19050" b="19050"/>
            <wp:wrapTight wrapText="bothSides">
              <wp:wrapPolygon edited="0">
                <wp:start x="0" y="0"/>
                <wp:lineTo x="0" y="21600"/>
                <wp:lineTo x="21600" y="21600"/>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72C3C5A"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37140F81"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rsidRPr="007A2F90">
        <w:rPr>
          <w:lang w:val="en-IE"/>
        </w:rPr>
        <w:t>Sample of a Table footnote. (</w:t>
      </w:r>
      <w:r w:rsidR="009303D9" w:rsidRPr="007A2F90">
        <w:rPr>
          <w:i/>
          <w:lang w:val="en-IE"/>
        </w:rPr>
        <w:t>Table footnote</w:t>
      </w:r>
      <w:r w:rsidR="009303D9" w:rsidRPr="007A2F90">
        <w:rPr>
          <w:lang w:val="en-IE"/>
        </w:rPr>
        <w:t>)</w:t>
      </w:r>
    </w:p>
    <w:p w14:paraId="03EEFB6A" w14:textId="77777777" w:rsidR="005B0344" w:rsidRPr="007A2F90" w:rsidRDefault="005B0344" w:rsidP="003A19E2">
      <w:pPr>
        <w:pStyle w:val="figurecaption"/>
        <w:rPr>
          <w:lang w:val="en-IE"/>
        </w:rPr>
      </w:pPr>
      <w:r w:rsidRPr="007A2F90">
        <w:rPr>
          <w:lang w:val="en-IE"/>
        </w:rPr>
        <w:t xml:space="preserve">Example of a figure caption. </w:t>
      </w:r>
      <w:r w:rsidRPr="007A2F90">
        <w:rPr>
          <w:iCs/>
          <w:lang w:val="en-IE"/>
        </w:rPr>
        <w:t>(</w:t>
      </w:r>
      <w:r w:rsidRPr="007A2F90">
        <w:rPr>
          <w:i/>
          <w:iCs/>
          <w:lang w:val="en-IE"/>
        </w:rPr>
        <w:t>figure caption</w:t>
      </w:r>
      <w:r w:rsidRPr="007A2F90">
        <w:rPr>
          <w:iCs/>
          <w:lang w:val="en-IE"/>
        </w:rPr>
        <w:t>)</w:t>
      </w:r>
    </w:p>
    <w:p w14:paraId="022FCE6E" w14:textId="77777777" w:rsidR="0080791D" w:rsidRPr="007A2F90" w:rsidRDefault="009303D9" w:rsidP="00E7596C">
      <w:pPr>
        <w:pStyle w:val="BodyText"/>
        <w:rPr>
          <w:lang w:val="en-IE"/>
        </w:rPr>
      </w:pPr>
      <w:r w:rsidRPr="007A2F90">
        <w:rPr>
          <w:lang w:val="en-IE"/>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rsidRPr="007A2F90">
        <w:rPr>
          <w:lang w:val="en-IE"/>
        </w:rPr>
        <w:t xml:space="preserve"> with a ratio of quantities and units. For example, write “Temperature (K)”, not “Temperature/K”.</w:t>
      </w:r>
    </w:p>
    <w:p w14:paraId="7F0EF8EC" w14:textId="77777777" w:rsidR="0080791D" w:rsidRPr="007A2F90" w:rsidRDefault="0080791D" w:rsidP="0080791D">
      <w:pPr>
        <w:pStyle w:val="Heading5"/>
        <w:rPr>
          <w:lang w:val="en-IE"/>
        </w:rPr>
      </w:pPr>
      <w:r w:rsidRPr="007A2F90">
        <w:rPr>
          <w:lang w:val="en-IE"/>
        </w:rPr>
        <w:t xml:space="preserve">Acknowledgment </w:t>
      </w:r>
      <w:r w:rsidRPr="007A2F90">
        <w:rPr>
          <w:i/>
          <w:iCs/>
          <w:lang w:val="en-IE"/>
        </w:rPr>
        <w:t>(</w:t>
      </w:r>
      <w:r w:rsidRPr="007A2F90">
        <w:rPr>
          <w:i/>
          <w:iCs/>
          <w:smallCaps w:val="0"/>
          <w:lang w:val="en-IE"/>
        </w:rPr>
        <w:t>Heading 5</w:t>
      </w:r>
      <w:r w:rsidRPr="007A2F90">
        <w:rPr>
          <w:i/>
          <w:iCs/>
          <w:lang w:val="en-IE"/>
        </w:rPr>
        <w:t>)</w:t>
      </w:r>
    </w:p>
    <w:p w14:paraId="7C7060F5" w14:textId="77777777" w:rsidR="00575BCA" w:rsidRPr="007A2F90" w:rsidRDefault="0080791D" w:rsidP="001A42EA">
      <w:pPr>
        <w:pStyle w:val="BodyText"/>
        <w:rPr>
          <w:lang w:val="en-IE"/>
        </w:rPr>
      </w:pPr>
      <w:r w:rsidRPr="007A2F90">
        <w:rPr>
          <w:lang w:val="en-IE"/>
        </w:rPr>
        <w:t>The preferred spelling of the word “acknowledgment” in America is without an “e” after the “g</w:t>
      </w:r>
      <w:r w:rsidR="00AE3409" w:rsidRPr="007A2F90">
        <w:rPr>
          <w:lang w:val="en-IE"/>
        </w:rPr>
        <w:t>”. Avoid the stilted expression “o</w:t>
      </w:r>
      <w:r w:rsidRPr="007A2F90">
        <w:rPr>
          <w:lang w:val="en-IE"/>
        </w:rPr>
        <w:t xml:space="preserve">ne of us (R. B. G.) thanks </w:t>
      </w:r>
      <w:r w:rsidR="00AE3409" w:rsidRPr="007A2F90">
        <w:rPr>
          <w:lang w:val="en-IE"/>
        </w:rPr>
        <w:t xml:space="preserve">...”.  </w:t>
      </w:r>
      <w:r w:rsidRPr="007A2F90">
        <w:rPr>
          <w:lang w:val="en-IE"/>
        </w:rPr>
        <w:t>Instead, try “R. B. G. thanks</w:t>
      </w:r>
      <w:r w:rsidR="00AE3409" w:rsidRPr="007A2F90">
        <w:rPr>
          <w:lang w:val="en-IE"/>
        </w:rPr>
        <w:t>...</w:t>
      </w:r>
      <w:r w:rsidRPr="007A2F90">
        <w:rPr>
          <w:lang w:val="en-IE"/>
        </w:rPr>
        <w:t>”.</w:t>
      </w:r>
      <w:r w:rsidR="00F03103" w:rsidRPr="007A2F90">
        <w:rPr>
          <w:lang w:val="en-IE"/>
        </w:rPr>
        <w:t xml:space="preserve"> </w:t>
      </w:r>
      <w:r w:rsidRPr="007A2F90">
        <w:rPr>
          <w:lang w:val="en-IE"/>
        </w:rPr>
        <w:t>Put spons</w:t>
      </w:r>
      <w:r w:rsidR="00794804" w:rsidRPr="007A2F90">
        <w:rPr>
          <w:lang w:val="en-IE"/>
        </w:rPr>
        <w:t>or acknowledgments in the unnum</w:t>
      </w:r>
      <w:r w:rsidRPr="007A2F90">
        <w:rPr>
          <w:lang w:val="en-IE"/>
        </w:rPr>
        <w:t>bered footnote on the first page.</w:t>
      </w:r>
      <w:r w:rsidR="001A42EA" w:rsidRPr="007A2F90">
        <w:rPr>
          <w:lang w:val="en-IE"/>
        </w:rPr>
        <w:t xml:space="preserve"> </w:t>
      </w:r>
    </w:p>
    <w:p w14:paraId="7E448512" w14:textId="77777777" w:rsidR="009303D9" w:rsidRPr="007A2F90" w:rsidRDefault="009303D9" w:rsidP="00A059B3">
      <w:pPr>
        <w:pStyle w:val="Heading5"/>
        <w:rPr>
          <w:lang w:val="en-IE"/>
        </w:rPr>
      </w:pPr>
      <w:r w:rsidRPr="007A2F90">
        <w:rPr>
          <w:lang w:val="en-IE"/>
        </w:rPr>
        <w:t>References</w:t>
      </w:r>
    </w:p>
    <w:p w14:paraId="25B1FD4D" w14:textId="77777777" w:rsidR="009303D9" w:rsidRPr="007A2F90" w:rsidRDefault="009303D9" w:rsidP="00E7596C">
      <w:pPr>
        <w:pStyle w:val="BodyText"/>
        <w:rPr>
          <w:lang w:val="en-IE"/>
        </w:rPr>
      </w:pPr>
      <w:r w:rsidRPr="007A2F90">
        <w:rPr>
          <w:lang w:val="en-IE"/>
        </w:rPr>
        <w:t xml:space="preserve">The template will number citations consecutively within brackets [1]. The sentence punctuation follows the bracket [2]. </w:t>
      </w:r>
      <w:r w:rsidRPr="007A2F90">
        <w:rPr>
          <w:lang w:val="en-IE"/>
        </w:rPr>
        <w:t>Refer simply to the reference number, as in [3]—do not use “Ref. [3]” or “reference [3]” except at the beginning of a sentence: “Reference [3] was the first</w:t>
      </w:r>
      <w:r w:rsidR="00F03103" w:rsidRPr="007A2F90">
        <w:rPr>
          <w:lang w:val="en-IE"/>
        </w:rPr>
        <w:t xml:space="preserve"> ...</w:t>
      </w:r>
      <w:r w:rsidRPr="007A2F90">
        <w:rPr>
          <w:lang w:val="en-IE"/>
        </w:rPr>
        <w:t>”</w:t>
      </w:r>
    </w:p>
    <w:p w14:paraId="384F2CE5" w14:textId="77777777" w:rsidR="009303D9" w:rsidRPr="007A2F90" w:rsidRDefault="009303D9" w:rsidP="00E7596C">
      <w:pPr>
        <w:pStyle w:val="BodyText"/>
        <w:rPr>
          <w:lang w:val="en-IE"/>
        </w:rPr>
      </w:pPr>
      <w:r w:rsidRPr="007A2F90">
        <w:rPr>
          <w:lang w:val="en-IE"/>
        </w:rPr>
        <w:t>Number footnotes separately in superscripts. Place the actual footnote at the bottom of the column in which it was cited. Do not put footnotes in the</w:t>
      </w:r>
      <w:r w:rsidR="00233D97" w:rsidRPr="007A2F90">
        <w:rPr>
          <w:lang w:val="en-IE"/>
        </w:rPr>
        <w:t xml:space="preserve"> abstract or</w:t>
      </w:r>
      <w:r w:rsidRPr="007A2F90">
        <w:rPr>
          <w:lang w:val="en-IE"/>
        </w:rPr>
        <w:t xml:space="preserve"> reference list. Use letters for table footnotes.</w:t>
      </w:r>
    </w:p>
    <w:p w14:paraId="507A1054" w14:textId="77777777" w:rsidR="009303D9" w:rsidRPr="007A2F90" w:rsidRDefault="009303D9" w:rsidP="00E7596C">
      <w:pPr>
        <w:pStyle w:val="BodyText"/>
        <w:rPr>
          <w:lang w:val="en-IE"/>
        </w:rPr>
      </w:pPr>
      <w:r w:rsidRPr="007A2F90">
        <w:rPr>
          <w:lang w:val="en-IE"/>
        </w:rPr>
        <w:t>Unless there are six au</w:t>
      </w:r>
      <w:r w:rsidR="00C919A4" w:rsidRPr="007A2F90">
        <w:rPr>
          <w:lang w:val="en-IE"/>
        </w:rPr>
        <w:t xml:space="preserve">thors or more give all authors’ </w:t>
      </w:r>
      <w:r w:rsidRPr="007A2F90">
        <w:rPr>
          <w:lang w:val="en-IE"/>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7A2F90" w:rsidRDefault="009303D9" w:rsidP="00E7596C">
      <w:pPr>
        <w:pStyle w:val="BodyText"/>
        <w:rPr>
          <w:lang w:val="en-IE"/>
        </w:rPr>
      </w:pPr>
      <w:r w:rsidRPr="007A2F90">
        <w:rPr>
          <w:lang w:val="en-IE"/>
        </w:rPr>
        <w:t>For papers published in translation journals, please give the English citation first, followed by the original foreign-language citation [6].</w:t>
      </w:r>
    </w:p>
    <w:p w14:paraId="762EC548" w14:textId="77777777" w:rsidR="009303D9" w:rsidRPr="007A2F90" w:rsidRDefault="009303D9">
      <w:pPr>
        <w:rPr>
          <w:lang w:val="en-IE"/>
        </w:rPr>
      </w:pPr>
    </w:p>
    <w:p w14:paraId="7B535177" w14:textId="77777777" w:rsidR="009303D9" w:rsidRPr="007A2F90" w:rsidRDefault="009303D9" w:rsidP="0004781E">
      <w:pPr>
        <w:pStyle w:val="references"/>
        <w:ind w:start="17.70pt" w:hanging="17.70pt"/>
        <w:rPr>
          <w:lang w:val="en-IE"/>
        </w:rPr>
      </w:pPr>
      <w:r w:rsidRPr="007A2F90">
        <w:rPr>
          <w:lang w:val="en-IE"/>
        </w:rPr>
        <w:t xml:space="preserve">G. Eason, B. Noble, and I. N. Sneddon, “On certain integrals of Lipschitz-Hankel type involving products of Bessel functions,” Phil. Trans. Roy. Soc. London, vol. A247, pp. 529–551, April 1955. </w:t>
      </w:r>
      <w:r w:rsidRPr="007A2F90">
        <w:rPr>
          <w:i/>
          <w:iCs/>
          <w:lang w:val="en-IE"/>
        </w:rPr>
        <w:t>(references)</w:t>
      </w:r>
    </w:p>
    <w:p w14:paraId="46693B3D" w14:textId="77777777" w:rsidR="009303D9" w:rsidRPr="007A2F90" w:rsidRDefault="009303D9" w:rsidP="0004781E">
      <w:pPr>
        <w:pStyle w:val="references"/>
        <w:ind w:start="17.70pt" w:hanging="17.70pt"/>
        <w:rPr>
          <w:lang w:val="en-IE"/>
        </w:rPr>
      </w:pPr>
      <w:r w:rsidRPr="007A2F90">
        <w:rPr>
          <w:lang w:val="en-IE"/>
        </w:rPr>
        <w:t>J. Clerk Maxwell, A Treatise on Electricity and Magnetism, 3rd ed., vol. 2. Oxford: Clarendon, 1892, pp.68–73.</w:t>
      </w:r>
    </w:p>
    <w:p w14:paraId="4E127A7C" w14:textId="77777777" w:rsidR="009303D9" w:rsidRPr="007A2F90" w:rsidRDefault="009303D9" w:rsidP="0004781E">
      <w:pPr>
        <w:pStyle w:val="references"/>
        <w:ind w:start="17.70pt" w:hanging="17.70pt"/>
        <w:rPr>
          <w:lang w:val="en-IE"/>
        </w:rPr>
      </w:pPr>
      <w:r w:rsidRPr="007A2F90">
        <w:rPr>
          <w:lang w:val="en-IE"/>
        </w:rPr>
        <w:t>I. S. Jacobs and C. P. Bean, “Fine particles, thin films and exchange anisotropy,” in Magnetism, vol. III, G. T. Rado and H. Suhl, Eds. New York: Academic, 1963, pp. 271–350.</w:t>
      </w:r>
    </w:p>
    <w:p w14:paraId="35F1D365" w14:textId="77777777" w:rsidR="009303D9" w:rsidRPr="007A2F90" w:rsidRDefault="009303D9" w:rsidP="0004781E">
      <w:pPr>
        <w:pStyle w:val="references"/>
        <w:ind w:start="17.70pt" w:hanging="17.70pt"/>
        <w:rPr>
          <w:lang w:val="en-IE"/>
        </w:rPr>
      </w:pPr>
      <w:r w:rsidRPr="007A2F90">
        <w:rPr>
          <w:lang w:val="en-IE"/>
        </w:rPr>
        <w:t>K. Elissa, “Title of paper if known,” unpublished.</w:t>
      </w:r>
    </w:p>
    <w:p w14:paraId="19479632" w14:textId="77777777" w:rsidR="009303D9" w:rsidRPr="007A2F90" w:rsidRDefault="009303D9" w:rsidP="0004781E">
      <w:pPr>
        <w:pStyle w:val="references"/>
        <w:ind w:start="17.70pt" w:hanging="17.70pt"/>
        <w:rPr>
          <w:lang w:val="en-IE"/>
        </w:rPr>
      </w:pPr>
      <w:r w:rsidRPr="007A2F90">
        <w:rPr>
          <w:lang w:val="en-IE"/>
        </w:rPr>
        <w:t>R. Nicole, “Title of paper with only first word capitalized,” J. Name Stand. Abbrev., in press.</w:t>
      </w:r>
    </w:p>
    <w:p w14:paraId="6A59C119" w14:textId="77777777" w:rsidR="009303D9" w:rsidRPr="007A2F90" w:rsidRDefault="009303D9" w:rsidP="0004781E">
      <w:pPr>
        <w:pStyle w:val="references"/>
        <w:ind w:start="17.70pt" w:hanging="17.70pt"/>
        <w:rPr>
          <w:lang w:val="en-IE"/>
        </w:rPr>
      </w:pPr>
      <w:r w:rsidRPr="007A2F90">
        <w:rPr>
          <w:lang w:val="en-IE"/>
        </w:rPr>
        <w:t>Y. Yorozu, M. Hirano, K. Oka, and Y. Tagawa, “Electron spectroscopy studies on magneto-optical media and plastic substrate interface,” IEEE Transl. J. Magn. Japan, vol. 2, pp. 740–741, August 1987 [Digests 9th Annual Conf. Magnetics Japan, p. 301, 1982].</w:t>
      </w:r>
    </w:p>
    <w:p w14:paraId="03CAF9EC" w14:textId="77777777" w:rsidR="00156B74" w:rsidRPr="007A2F90" w:rsidRDefault="009303D9" w:rsidP="00156B74">
      <w:pPr>
        <w:pStyle w:val="references"/>
        <w:ind w:start="17.70pt" w:hanging="17.70pt"/>
        <w:rPr>
          <w:lang w:val="en-IE"/>
        </w:rPr>
      </w:pPr>
      <w:r w:rsidRPr="007A2F90">
        <w:rPr>
          <w:lang w:val="en-IE"/>
        </w:rPr>
        <w:t>M. Young, The Technical Writer</w:t>
      </w:r>
      <w:r w:rsidR="00E7596C" w:rsidRPr="007A2F90">
        <w:rPr>
          <w:lang w:val="en-IE"/>
        </w:rPr>
        <w:t>’</w:t>
      </w:r>
      <w:r w:rsidRPr="007A2F90">
        <w:rPr>
          <w:lang w:val="en-IE"/>
        </w:rPr>
        <w:t>s Handbook. Mill Valley, CA: University Science, 1989.</w:t>
      </w:r>
    </w:p>
    <w:p w14:paraId="095CD6D1" w14:textId="77777777" w:rsidR="00156B74" w:rsidRPr="007A2F90" w:rsidRDefault="00156B74" w:rsidP="00156B74">
      <w:pPr>
        <w:pStyle w:val="references"/>
        <w:ind w:start="17.70pt" w:hanging="17.70pt"/>
        <w:rPr>
          <w:rFonts w:ascii="NimbusRomNo9L-Regu" w:eastAsia="NimbusRomNo9L-Regu" w:cs="NimbusRomNo9L-Regu"/>
          <w:lang w:val="en-IE"/>
        </w:rPr>
      </w:pPr>
      <w:r w:rsidRPr="007A2F90">
        <w:rPr>
          <w:rFonts w:ascii="NimbusRomNo9L-Regu" w:eastAsia="NimbusRomNo9L-Regu" w:cs="NimbusRomNo9L-Regu"/>
          <w:lang w:val="en-IE"/>
        </w:rPr>
        <w:t xml:space="preserve"> </w:t>
      </w:r>
      <w:r w:rsidRPr="007A2F90">
        <w:rPr>
          <w:lang w:val="en-IE"/>
        </w:rPr>
        <w:t xml:space="preserve">K. Eves and J. Valasek, “Adaptive control for singularly perturbed systems examples,” Code Ocean, Aug. 2023. [Online]. Available: </w:t>
      </w:r>
      <w:hyperlink r:id="rId9" w:history="1">
        <w:r w:rsidRPr="007A2F90">
          <w:rPr>
            <w:lang w:val="en-IE"/>
          </w:rPr>
          <w:t>https://codeocean.com/capsule/4989235/tree</w:t>
        </w:r>
      </w:hyperlink>
      <w:r w:rsidRPr="007A2F90">
        <w:rPr>
          <w:lang w:val="en-IE"/>
        </w:rPr>
        <w:t xml:space="preserve"> </w:t>
      </w:r>
    </w:p>
    <w:p w14:paraId="02A693BF" w14:textId="77777777" w:rsidR="00156B74" w:rsidRPr="007A2F90" w:rsidRDefault="00156B74" w:rsidP="00156B74">
      <w:pPr>
        <w:pStyle w:val="references"/>
        <w:autoSpaceDE w:val="0"/>
        <w:autoSpaceDN w:val="0"/>
        <w:adjustRightInd w:val="0"/>
        <w:ind w:start="17.70pt" w:hanging="17.70pt"/>
        <w:jc w:val="start"/>
        <w:rPr>
          <w:lang w:val="en-IE"/>
        </w:rPr>
      </w:pPr>
      <w:r w:rsidRPr="007A2F90">
        <w:rPr>
          <w:lang w:val="en-IE"/>
        </w:rPr>
        <w:t xml:space="preserve">D. P. Kingma and M. Welling, “Auto-encoding variational Bayes,” 2013, arXiv:1312.6114. [Online]. Available: </w:t>
      </w:r>
      <w:hyperlink r:id="rId10" w:history="1">
        <w:r w:rsidRPr="007A2F90">
          <w:rPr>
            <w:lang w:val="en-IE"/>
          </w:rPr>
          <w:t>https://arxiv.org/abs/1312.6114</w:t>
        </w:r>
      </w:hyperlink>
    </w:p>
    <w:p w14:paraId="2E399E5B" w14:textId="78F18DC4" w:rsidR="00156B74" w:rsidRPr="007A2F90" w:rsidRDefault="00156B74" w:rsidP="00156B74">
      <w:pPr>
        <w:pStyle w:val="references"/>
        <w:autoSpaceDE w:val="0"/>
        <w:autoSpaceDN w:val="0"/>
        <w:adjustRightInd w:val="0"/>
        <w:ind w:start="17.70pt" w:hanging="17.70pt"/>
        <w:jc w:val="start"/>
        <w:rPr>
          <w:lang w:val="en-IE"/>
        </w:rPr>
      </w:pPr>
      <w:r w:rsidRPr="007A2F90">
        <w:rPr>
          <w:lang w:val="en-IE"/>
        </w:rPr>
        <w:t xml:space="preserve">S. Liu, “Wi-Fi Energy Detection Testbed (12MTC),” 2023, gitHub repository. [Online]. Available: https://github.com/liustone99/Wi-Fi-Energy-Detection-Testbed-12MTC </w:t>
      </w:r>
    </w:p>
    <w:p w14:paraId="3B8DFCE8" w14:textId="7921C274" w:rsidR="00156B74" w:rsidRPr="007A2F90" w:rsidRDefault="00156B74" w:rsidP="00156B74">
      <w:pPr>
        <w:pStyle w:val="references"/>
        <w:autoSpaceDE w:val="0"/>
        <w:autoSpaceDN w:val="0"/>
        <w:adjustRightInd w:val="0"/>
        <w:ind w:start="17.70pt" w:hanging="17.70pt"/>
        <w:jc w:val="start"/>
        <w:rPr>
          <w:lang w:val="en-IE"/>
        </w:rPr>
      </w:pPr>
      <w:r w:rsidRPr="007A2F90">
        <w:rPr>
          <w:lang w:val="en-IE"/>
        </w:rPr>
        <w:t>“Treatment episode data set: discharges (TEDS-D): concatenated, 2006 to 2009.” U.S. Department of Health and Human Services, Substance Abuse and Mental Health Services Administration, Office of Applied Studies, August, 2013, DOI:10.3886/ICPSR30122.v2</w:t>
      </w:r>
    </w:p>
    <w:p w14:paraId="2A5DE92A" w14:textId="77777777" w:rsidR="009303D9" w:rsidRPr="007A2F90" w:rsidRDefault="001A42EA" w:rsidP="00F96569">
      <w:pPr>
        <w:pStyle w:val="references"/>
        <w:numPr>
          <w:ilvl w:val="0"/>
          <w:numId w:val="0"/>
        </w:numPr>
        <w:ind w:start="18pt" w:hanging="18pt"/>
        <w:jc w:val="center"/>
        <w:rPr>
          <w:rFonts w:eastAsia="SimSun"/>
          <w:b/>
          <w:noProof w:val="0"/>
          <w:color w:val="FF0000"/>
          <w:spacing w:val="-1"/>
          <w:sz w:val="20"/>
          <w:szCs w:val="20"/>
          <w:lang w:val="en-IE" w:eastAsia="x-none"/>
        </w:rPr>
        <w:sectPr w:rsidR="009303D9" w:rsidRPr="007A2F90" w:rsidSect="00C919A4">
          <w:type w:val="continuous"/>
          <w:pgSz w:w="612pt" w:h="792pt" w:code="1"/>
          <w:pgMar w:top="54pt" w:right="45.35pt" w:bottom="72pt" w:left="45.35pt" w:header="36pt" w:footer="36pt" w:gutter="0pt"/>
          <w:cols w:num="2" w:space="18pt"/>
          <w:docGrid w:linePitch="360"/>
        </w:sectPr>
      </w:pPr>
      <w:r w:rsidRPr="007A2F90">
        <w:rPr>
          <w:rFonts w:eastAsia="SimSun"/>
          <w:b/>
          <w:noProof w:val="0"/>
          <w:color w:val="FF0000"/>
          <w:spacing w:val="-1"/>
          <w:sz w:val="20"/>
          <w:szCs w:val="20"/>
          <w:lang w:val="en-I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sidRPr="007A2F90">
        <w:rPr>
          <w:rFonts w:eastAsia="SimSun"/>
          <w:b/>
          <w:noProof w:val="0"/>
          <w:color w:val="FF0000"/>
          <w:spacing w:val="-1"/>
          <w:sz w:val="20"/>
          <w:szCs w:val="20"/>
          <w:lang w:val="en-IE" w:eastAsia="x-none"/>
        </w:rPr>
        <w:t>may</w:t>
      </w:r>
      <w:r w:rsidRPr="007A2F90">
        <w:rPr>
          <w:rFonts w:eastAsia="SimSun"/>
          <w:b/>
          <w:noProof w:val="0"/>
          <w:color w:val="FF0000"/>
          <w:spacing w:val="-1"/>
          <w:sz w:val="20"/>
          <w:szCs w:val="20"/>
          <w:lang w:val="en-IE" w:eastAsia="x-none"/>
        </w:rPr>
        <w:t xml:space="preserve"> result in your paper not being published.</w:t>
      </w:r>
    </w:p>
    <w:p w14:paraId="6FC6C90C" w14:textId="77777777" w:rsidR="009303D9" w:rsidRPr="007A2F90" w:rsidRDefault="009303D9" w:rsidP="00F96569">
      <w:pPr>
        <w:rPr>
          <w:color w:val="FF0000"/>
          <w:lang w:val="en-IE"/>
        </w:rPr>
      </w:pPr>
    </w:p>
    <w:sectPr w:rsidR="009303D9" w:rsidRPr="007A2F90">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68DB45D" w14:textId="77777777" w:rsidR="00333477" w:rsidRDefault="00333477" w:rsidP="001A3B3D">
      <w:r>
        <w:separator/>
      </w:r>
    </w:p>
  </w:endnote>
  <w:endnote w:type="continuationSeparator" w:id="0">
    <w:p w14:paraId="4E49345F" w14:textId="77777777" w:rsidR="00333477" w:rsidRDefault="0033347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E995414" w14:textId="77777777" w:rsidR="00333477" w:rsidRDefault="00333477" w:rsidP="001A3B3D">
      <w:r>
        <w:separator/>
      </w:r>
    </w:p>
  </w:footnote>
  <w:footnote w:type="continuationSeparator" w:id="0">
    <w:p w14:paraId="1346BA54" w14:textId="77777777" w:rsidR="00333477" w:rsidRDefault="0033347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01A9"/>
    <w:rsid w:val="00025477"/>
    <w:rsid w:val="00033F22"/>
    <w:rsid w:val="0004781E"/>
    <w:rsid w:val="0008758A"/>
    <w:rsid w:val="000C1E68"/>
    <w:rsid w:val="000E1A71"/>
    <w:rsid w:val="00124EE5"/>
    <w:rsid w:val="001305BF"/>
    <w:rsid w:val="0015079E"/>
    <w:rsid w:val="00156B74"/>
    <w:rsid w:val="001A2EFD"/>
    <w:rsid w:val="001A3B3D"/>
    <w:rsid w:val="001A42EA"/>
    <w:rsid w:val="001B6682"/>
    <w:rsid w:val="001B67DC"/>
    <w:rsid w:val="001D7BCF"/>
    <w:rsid w:val="002254A9"/>
    <w:rsid w:val="00233D97"/>
    <w:rsid w:val="00255F7A"/>
    <w:rsid w:val="002850E3"/>
    <w:rsid w:val="002D35BC"/>
    <w:rsid w:val="003253F6"/>
    <w:rsid w:val="00333477"/>
    <w:rsid w:val="00354FCF"/>
    <w:rsid w:val="003A0363"/>
    <w:rsid w:val="003A19E2"/>
    <w:rsid w:val="003A1E75"/>
    <w:rsid w:val="00421EC6"/>
    <w:rsid w:val="004325FB"/>
    <w:rsid w:val="00442510"/>
    <w:rsid w:val="004432BA"/>
    <w:rsid w:val="0044407E"/>
    <w:rsid w:val="004874E2"/>
    <w:rsid w:val="004D72B5"/>
    <w:rsid w:val="00547E73"/>
    <w:rsid w:val="00551B7F"/>
    <w:rsid w:val="0056610F"/>
    <w:rsid w:val="00571C9A"/>
    <w:rsid w:val="00575BCA"/>
    <w:rsid w:val="005B0344"/>
    <w:rsid w:val="005B520E"/>
    <w:rsid w:val="005E2800"/>
    <w:rsid w:val="005E57CE"/>
    <w:rsid w:val="005F6737"/>
    <w:rsid w:val="00604160"/>
    <w:rsid w:val="006347CF"/>
    <w:rsid w:val="00645D22"/>
    <w:rsid w:val="00651A08"/>
    <w:rsid w:val="00654204"/>
    <w:rsid w:val="006571B6"/>
    <w:rsid w:val="00657D88"/>
    <w:rsid w:val="00670434"/>
    <w:rsid w:val="006773BC"/>
    <w:rsid w:val="006B6B66"/>
    <w:rsid w:val="006F6D3D"/>
    <w:rsid w:val="00704134"/>
    <w:rsid w:val="00715BEA"/>
    <w:rsid w:val="00740EEA"/>
    <w:rsid w:val="00794804"/>
    <w:rsid w:val="00794FD8"/>
    <w:rsid w:val="007A2F90"/>
    <w:rsid w:val="007B33F1"/>
    <w:rsid w:val="007C0308"/>
    <w:rsid w:val="007C2FF2"/>
    <w:rsid w:val="007D6232"/>
    <w:rsid w:val="007F1F99"/>
    <w:rsid w:val="007F768F"/>
    <w:rsid w:val="0080791D"/>
    <w:rsid w:val="00873603"/>
    <w:rsid w:val="00885551"/>
    <w:rsid w:val="008A0E26"/>
    <w:rsid w:val="008A2C7D"/>
    <w:rsid w:val="008B6CCD"/>
    <w:rsid w:val="008C4B23"/>
    <w:rsid w:val="008F6E2C"/>
    <w:rsid w:val="0092316C"/>
    <w:rsid w:val="009303D9"/>
    <w:rsid w:val="00933C64"/>
    <w:rsid w:val="00967DD4"/>
    <w:rsid w:val="00972203"/>
    <w:rsid w:val="00993B3B"/>
    <w:rsid w:val="009A05EC"/>
    <w:rsid w:val="00A00BB2"/>
    <w:rsid w:val="00A059B3"/>
    <w:rsid w:val="00A32776"/>
    <w:rsid w:val="00A83751"/>
    <w:rsid w:val="00A95335"/>
    <w:rsid w:val="00AE3409"/>
    <w:rsid w:val="00B11A60"/>
    <w:rsid w:val="00B22613"/>
    <w:rsid w:val="00B45325"/>
    <w:rsid w:val="00BA1025"/>
    <w:rsid w:val="00BC3420"/>
    <w:rsid w:val="00BE09F6"/>
    <w:rsid w:val="00BE7D3C"/>
    <w:rsid w:val="00BF5FF6"/>
    <w:rsid w:val="00C0207F"/>
    <w:rsid w:val="00C05867"/>
    <w:rsid w:val="00C16117"/>
    <w:rsid w:val="00C3075A"/>
    <w:rsid w:val="00C76FFC"/>
    <w:rsid w:val="00C919A4"/>
    <w:rsid w:val="00CA4392"/>
    <w:rsid w:val="00CC393F"/>
    <w:rsid w:val="00CF3D0A"/>
    <w:rsid w:val="00D13749"/>
    <w:rsid w:val="00D2176E"/>
    <w:rsid w:val="00D36DB9"/>
    <w:rsid w:val="00D632BE"/>
    <w:rsid w:val="00D64B9C"/>
    <w:rsid w:val="00D72D06"/>
    <w:rsid w:val="00D7522C"/>
    <w:rsid w:val="00D7536F"/>
    <w:rsid w:val="00D76668"/>
    <w:rsid w:val="00DA7561"/>
    <w:rsid w:val="00E26FD9"/>
    <w:rsid w:val="00E522A1"/>
    <w:rsid w:val="00E61E12"/>
    <w:rsid w:val="00E72068"/>
    <w:rsid w:val="00E7596C"/>
    <w:rsid w:val="00E878F2"/>
    <w:rsid w:val="00ED0149"/>
    <w:rsid w:val="00EF50E7"/>
    <w:rsid w:val="00EF7DE3"/>
    <w:rsid w:val="00F03103"/>
    <w:rsid w:val="00F12284"/>
    <w:rsid w:val="00F271DE"/>
    <w:rsid w:val="00F627DA"/>
    <w:rsid w:val="00F7288F"/>
    <w:rsid w:val="00F847A6"/>
    <w:rsid w:val="00F9441B"/>
    <w:rsid w:val="00F96569"/>
    <w:rsid w:val="00FA4C32"/>
    <w:rsid w:val="00FA5792"/>
    <w:rsid w:val="00FD0B1B"/>
    <w:rsid w:val="00FE7114"/>
    <w:rsid w:val="00FF1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105</TotalTime>
  <Pages>4</Pages>
  <Words>3074</Words>
  <Characters>17523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Sergio Vinicio Da Silva Oliveira</cp:lastModifiedBy>
  <cp:revision>24</cp:revision>
  <dcterms:created xsi:type="dcterms:W3CDTF">2025-10-28T22:41:00Z</dcterms:created>
  <dcterms:modified xsi:type="dcterms:W3CDTF">2025-10-30T12:59:00Z</dcterms:modified>
</cp:coreProperties>
</file>