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Seguridad de Contenedores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Docker Security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Buenas Prácticas</w:t>
      </w:r>
    </w:p>
    <w:p>
      <w:pPr>
        <w:spacing w:before="20" w:after="120"/>
        <w:ind w:left="850"/>
      </w:pPr>
      <w:r>
        <w:rPr>
          <w:color w:val="888888"/>
          <w:sz w:val="18"/>
        </w:rPr>
        <w:t>Seguridad en Docker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Escanear Vulnerabilidades</w:t>
      </w:r>
    </w:p>
    <w:p>
      <w:pPr>
        <w:spacing w:before="20" w:after="120"/>
        <w:ind w:left="850"/>
      </w:pPr>
      <w:r>
        <w:rPr>
          <w:color w:val="888888"/>
          <w:sz w:val="18"/>
        </w:rPr>
        <w:t>Buscar vulnerabilidades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Run como Usuario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Buenas Prácticas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buenas prácticas de seguridad.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No ejecutar como root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imágenes oficiales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Limitar recursos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Actualizar imágenes regularmente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Escanear Vulnerabilidades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Escanear vulnerabilidades en contenedores.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Trivy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-sfL https://raw.githubusercontent.com/aquasecurity/trivy/main/contrib/install.sh | 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Escanear imagen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trivy image myimage:latest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Run como Usuario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--user 1000:1000 myimage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Seguridad de Contenedores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