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Fine-Tuning con QLoRA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QLoRA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Configurar QLoRA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modelo cuantizado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Configurar LoRA</w:t>
      </w:r>
    </w:p>
    <w:p>
      <w:pPr>
        <w:spacing w:before="20" w:after="120"/>
        <w:ind w:left="850"/>
      </w:pPr>
      <w:r>
        <w:rPr>
          <w:color w:val="888888"/>
          <w:sz w:val="18"/>
        </w:rPr>
        <w:t>Aplicar adapters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Parámetros de QLoRA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Configurar QLoRA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QLoRA para fine-tuning eficiente.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transformers import AutoModelForCausalLM, BitsAndBytesConfig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bnb_config = BitsAndBytesConfig(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load_in_4bit=True,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bnb_4bit_quant_type="nf4",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bnb_4bit_compute_dtype=torch.float16,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AutoModelForCausalLM.from_pretrained(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model_name,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quantization_config=bnb_config,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Configurar LoRA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LoRA en el modelo.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peft import LoraConfig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lora_config = LoraConfig(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r=16,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lora_alpha=32,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target_modules=["q_proj", "k_proj", "v_proj", "o_proj"],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lora_dropout=0.05,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bias="none",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task_type="CAUSAL_LM",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Parámetros de QLoRA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 típico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 (rank)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8-64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lora_alpha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2x 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learning_rate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1e-4 a 2e-5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Fine-Tuning con QLoRA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