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con Ollama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Conectar Ollama</w:t>
      </w:r>
    </w:p>
    <w:p>
      <w:pPr>
        <w:spacing w:before="20" w:after="120"/>
        <w:ind w:left="850"/>
      </w:pPr>
      <w:r>
        <w:rPr>
          <w:color w:val="888888"/>
          <w:sz w:val="18"/>
        </w:rPr>
        <w:t>Connect Ollama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Conectar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serve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con Ollama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