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Visión General de Knowledge Base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RAG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Qué es RAG</w:t>
      </w:r>
    </w:p>
    <w:p>
      <w:pPr>
        <w:spacing w:before="20" w:after="120"/>
        <w:ind w:left="850"/>
      </w:pPr>
      <w:r>
        <w:rPr>
          <w:color w:val="888888"/>
          <w:sz w:val="18"/>
        </w:rPr>
        <w:t>RAG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Qué es RAG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Retrieval-Augmented Generation combina recuperación de información con generación de texto.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Visión General de Knowledge Base  |  Jetson AGX Orin - RAG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